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AC" w:rsidRDefault="00EA6018" w:rsidP="00057095">
      <w:pPr>
        <w:pStyle w:val="Textoindependiente"/>
        <w:rPr>
          <w:b/>
          <w:sz w:val="28"/>
        </w:rPr>
      </w:pPr>
      <w:bookmarkStart w:id="0" w:name="_GoBack"/>
      <w:bookmarkEnd w:id="0"/>
      <w:r>
        <w:rPr>
          <w:b/>
          <w:sz w:val="28"/>
        </w:rPr>
        <w:t xml:space="preserve">1) </w:t>
      </w:r>
      <w:r>
        <w:rPr>
          <w:b/>
          <w:sz w:val="28"/>
          <w:u w:val="single"/>
        </w:rPr>
        <w:t>NORMAS CONTABLES</w:t>
      </w:r>
      <w:r>
        <w:rPr>
          <w:b/>
          <w:sz w:val="28"/>
        </w:rPr>
        <w:t>.</w:t>
      </w:r>
    </w:p>
    <w:p w:rsidR="00A06130" w:rsidRPr="00A06130" w:rsidRDefault="00A06130" w:rsidP="00A06130">
      <w:pPr>
        <w:ind w:firstLine="708"/>
        <w:jc w:val="both"/>
        <w:rPr>
          <w:sz w:val="24"/>
          <w:szCs w:val="24"/>
        </w:rPr>
      </w:pPr>
      <w:bookmarkStart w:id="1" w:name="OLE_LINK1"/>
      <w:r w:rsidRPr="00A06130">
        <w:rPr>
          <w:sz w:val="24"/>
          <w:szCs w:val="24"/>
        </w:rPr>
        <w:t>En este juego de notas a los Estados Contables, cada vez que se refiera a una Norma de FACPCE es, salvo que se exprese lo contrario, porque ha sido adoptada por la R.T. 16/09 del CPCEPSL.</w:t>
      </w:r>
    </w:p>
    <w:p w:rsidR="00A06130" w:rsidRDefault="00A06130" w:rsidP="00A06130">
      <w:pPr>
        <w:ind w:firstLine="708"/>
        <w:jc w:val="both"/>
        <w:rPr>
          <w:sz w:val="24"/>
          <w:szCs w:val="24"/>
        </w:rPr>
      </w:pPr>
    </w:p>
    <w:p w:rsidR="00A06130" w:rsidRPr="00A06130" w:rsidRDefault="00A06130" w:rsidP="00A06130">
      <w:pPr>
        <w:ind w:firstLine="708"/>
        <w:jc w:val="both"/>
        <w:rPr>
          <w:sz w:val="24"/>
          <w:szCs w:val="24"/>
        </w:rPr>
      </w:pPr>
      <w:r w:rsidRPr="00A06130">
        <w:rPr>
          <w:sz w:val="24"/>
          <w:szCs w:val="24"/>
        </w:rPr>
        <w:t>Los Estados Contables han sido preparados en moneda homogénea de poder adquisitivo de cierre del presente ejercicio.</w:t>
      </w:r>
    </w:p>
    <w:p w:rsidR="00BA78EC" w:rsidRDefault="00BA78EC" w:rsidP="00A06130">
      <w:pPr>
        <w:ind w:firstLine="708"/>
        <w:jc w:val="both"/>
        <w:rPr>
          <w:sz w:val="24"/>
          <w:szCs w:val="24"/>
        </w:rPr>
      </w:pPr>
      <w:r>
        <w:rPr>
          <w:sz w:val="24"/>
          <w:szCs w:val="24"/>
        </w:rPr>
        <w:t>Según lo normado en la RJG 539/18</w:t>
      </w:r>
      <w:r w:rsidR="00506809">
        <w:rPr>
          <w:sz w:val="24"/>
          <w:szCs w:val="24"/>
        </w:rPr>
        <w:t xml:space="preserve"> de la FACPCE</w:t>
      </w:r>
      <w:r w:rsidR="005924D2" w:rsidRPr="00A06130">
        <w:rPr>
          <w:sz w:val="24"/>
          <w:szCs w:val="24"/>
        </w:rPr>
        <w:t>, adoptada y adaptada por RT 18/18 CPCEPSL</w:t>
      </w:r>
      <w:r w:rsidR="00321605">
        <w:rPr>
          <w:sz w:val="24"/>
          <w:szCs w:val="24"/>
        </w:rPr>
        <w:t xml:space="preserve"> </w:t>
      </w:r>
      <w:r>
        <w:rPr>
          <w:sz w:val="24"/>
          <w:szCs w:val="24"/>
        </w:rPr>
        <w:t>y, l</w:t>
      </w:r>
      <w:r w:rsidR="00BF3C1A">
        <w:rPr>
          <w:sz w:val="24"/>
          <w:szCs w:val="24"/>
        </w:rPr>
        <w:t xml:space="preserve">a declaración </w:t>
      </w:r>
      <w:r>
        <w:rPr>
          <w:sz w:val="24"/>
          <w:szCs w:val="24"/>
        </w:rPr>
        <w:t>de que nos encontramos en un contexto de inflación en Argentina (en los términos de la sección 3.1 de la RT N° 17 y 2.6 de la RT N° 41</w:t>
      </w:r>
      <w:r w:rsidR="00506809">
        <w:rPr>
          <w:sz w:val="24"/>
          <w:szCs w:val="24"/>
        </w:rPr>
        <w:t xml:space="preserve"> ambas de la FACPCE</w:t>
      </w:r>
      <w:r>
        <w:rPr>
          <w:sz w:val="24"/>
          <w:szCs w:val="24"/>
        </w:rPr>
        <w:t>) a partir del 31/12/2018 (inclus</w:t>
      </w:r>
      <w:r>
        <w:rPr>
          <w:sz w:val="24"/>
          <w:szCs w:val="24"/>
        </w:rPr>
        <w:t>i</w:t>
      </w:r>
      <w:r>
        <w:rPr>
          <w:sz w:val="24"/>
          <w:szCs w:val="24"/>
        </w:rPr>
        <w:t>ve)los Estados Contables correspondientes a los ejercicios anuales o de periodos intermedios cuyo cierre haya ocurrido a partir del 31/12/2018 deberán reexpresarse de acuerdo con el procedimiento establecido en la RT N° 6</w:t>
      </w:r>
      <w:r w:rsidR="00F3294F">
        <w:rPr>
          <w:sz w:val="24"/>
          <w:szCs w:val="24"/>
        </w:rPr>
        <w:t xml:space="preserve"> de la FACPCE.</w:t>
      </w:r>
    </w:p>
    <w:p w:rsidR="00A06130" w:rsidRPr="00A06130" w:rsidRDefault="00A06130" w:rsidP="00A06130">
      <w:pPr>
        <w:ind w:firstLine="708"/>
        <w:jc w:val="both"/>
        <w:rPr>
          <w:sz w:val="24"/>
          <w:szCs w:val="24"/>
        </w:rPr>
      </w:pPr>
      <w:r w:rsidRPr="00A06130">
        <w:rPr>
          <w:sz w:val="24"/>
          <w:szCs w:val="24"/>
        </w:rPr>
        <w:t xml:space="preserve">Por lo expuesto </w:t>
      </w:r>
      <w:r w:rsidR="00D43436">
        <w:rPr>
          <w:sz w:val="24"/>
          <w:szCs w:val="24"/>
        </w:rPr>
        <w:t xml:space="preserve">en </w:t>
      </w:r>
      <w:r w:rsidRPr="00A06130">
        <w:rPr>
          <w:sz w:val="24"/>
          <w:szCs w:val="24"/>
        </w:rPr>
        <w:t xml:space="preserve">el presente ejercicio se aplicó el procedimiento </w:t>
      </w:r>
      <w:r w:rsidR="00D43436">
        <w:rPr>
          <w:sz w:val="24"/>
          <w:szCs w:val="24"/>
        </w:rPr>
        <w:t xml:space="preserve">de ajuste por inflación </w:t>
      </w:r>
      <w:r w:rsidRPr="00A06130">
        <w:rPr>
          <w:sz w:val="24"/>
          <w:szCs w:val="24"/>
        </w:rPr>
        <w:t>normado por la RT</w:t>
      </w:r>
      <w:r w:rsidR="001E5116">
        <w:rPr>
          <w:sz w:val="24"/>
          <w:szCs w:val="24"/>
        </w:rPr>
        <w:t xml:space="preserve"> N° </w:t>
      </w:r>
      <w:r w:rsidRPr="00A06130">
        <w:rPr>
          <w:sz w:val="24"/>
          <w:szCs w:val="24"/>
        </w:rPr>
        <w:t>6</w:t>
      </w:r>
      <w:r w:rsidR="00506809">
        <w:rPr>
          <w:sz w:val="24"/>
          <w:szCs w:val="24"/>
        </w:rPr>
        <w:t xml:space="preserve"> de la FACPCE</w:t>
      </w:r>
      <w:r w:rsidRPr="00A06130">
        <w:rPr>
          <w:sz w:val="24"/>
          <w:szCs w:val="24"/>
        </w:rPr>
        <w:t xml:space="preserve"> y la Guía de Aplicación de las N.C. sobre Ajuste por Inflación (RT6 y NIC 29)</w:t>
      </w:r>
      <w:r w:rsidR="001E5116">
        <w:rPr>
          <w:sz w:val="24"/>
          <w:szCs w:val="24"/>
        </w:rPr>
        <w:t xml:space="preserve"> de la FACPCE</w:t>
      </w:r>
      <w:r w:rsidRPr="00A06130">
        <w:rPr>
          <w:sz w:val="24"/>
          <w:szCs w:val="24"/>
        </w:rPr>
        <w:t>, para las cuestiones no previstas en la RT 6.</w:t>
      </w:r>
    </w:p>
    <w:p w:rsidR="00A06130" w:rsidRDefault="00A06130" w:rsidP="00A06130">
      <w:pPr>
        <w:ind w:firstLine="708"/>
        <w:jc w:val="both"/>
        <w:rPr>
          <w:sz w:val="24"/>
          <w:szCs w:val="24"/>
        </w:rPr>
      </w:pPr>
    </w:p>
    <w:p w:rsidR="00A813AD" w:rsidRDefault="00A06130" w:rsidP="00A813AD">
      <w:pPr>
        <w:ind w:firstLine="708"/>
        <w:jc w:val="both"/>
        <w:rPr>
          <w:sz w:val="24"/>
        </w:rPr>
      </w:pPr>
      <w:r w:rsidRPr="00A06130">
        <w:rPr>
          <w:sz w:val="24"/>
          <w:szCs w:val="24"/>
        </w:rPr>
        <w:t>Además la información contable se ha presentado tomando en consideración la Resolución Técn</w:t>
      </w:r>
      <w:r w:rsidRPr="00A06130">
        <w:rPr>
          <w:sz w:val="24"/>
          <w:szCs w:val="24"/>
        </w:rPr>
        <w:t>i</w:t>
      </w:r>
      <w:r w:rsidRPr="00A06130">
        <w:rPr>
          <w:sz w:val="24"/>
          <w:szCs w:val="24"/>
        </w:rPr>
        <w:t>ca N</w:t>
      </w:r>
      <w:r w:rsidR="00E9347D">
        <w:rPr>
          <w:sz w:val="24"/>
          <w:szCs w:val="24"/>
        </w:rPr>
        <w:t>°</w:t>
      </w:r>
      <w:r w:rsidRPr="00A06130">
        <w:rPr>
          <w:sz w:val="24"/>
          <w:szCs w:val="24"/>
        </w:rPr>
        <w:t xml:space="preserve"> 8 y 9 de la FACPCE</w:t>
      </w:r>
      <w:r w:rsidR="0013045E">
        <w:rPr>
          <w:sz w:val="24"/>
          <w:szCs w:val="24"/>
        </w:rPr>
        <w:t>.</w:t>
      </w:r>
      <w:r w:rsidR="00AB69E2">
        <w:rPr>
          <w:sz w:val="24"/>
          <w:szCs w:val="24"/>
        </w:rPr>
        <w:t xml:space="preserve"> </w:t>
      </w:r>
      <w:r w:rsidR="00A813AD">
        <w:rPr>
          <w:sz w:val="24"/>
        </w:rPr>
        <w:t>En el Estado de Situación Patrimonial, de Resultados, de Evolución del P</w:t>
      </w:r>
      <w:r w:rsidR="00A813AD">
        <w:rPr>
          <w:sz w:val="24"/>
        </w:rPr>
        <w:t>a</w:t>
      </w:r>
      <w:r w:rsidR="00A813AD">
        <w:rPr>
          <w:sz w:val="24"/>
        </w:rPr>
        <w:t>tri</w:t>
      </w:r>
      <w:r w:rsidR="0013045E">
        <w:rPr>
          <w:sz w:val="24"/>
        </w:rPr>
        <w:t>m</w:t>
      </w:r>
      <w:r w:rsidR="00A813AD">
        <w:rPr>
          <w:sz w:val="24"/>
        </w:rPr>
        <w:t>onio Neto, y de Flujo de Efectivo se presenta información comparativa con el ejercicio precedente.</w:t>
      </w:r>
    </w:p>
    <w:p w:rsidR="00A813AD" w:rsidRDefault="00A813AD" w:rsidP="00A813AD">
      <w:pPr>
        <w:ind w:firstLine="708"/>
        <w:jc w:val="both"/>
        <w:rPr>
          <w:sz w:val="24"/>
        </w:rPr>
      </w:pPr>
    </w:p>
    <w:p w:rsidR="00BC148E" w:rsidRDefault="00D473AD" w:rsidP="00A06130">
      <w:pPr>
        <w:ind w:firstLine="708"/>
        <w:jc w:val="both"/>
        <w:rPr>
          <w:sz w:val="24"/>
          <w:szCs w:val="24"/>
        </w:rPr>
      </w:pPr>
      <w:r w:rsidRPr="00C62430">
        <w:rPr>
          <w:sz w:val="24"/>
          <w:szCs w:val="24"/>
        </w:rPr>
        <w:t>El ente cumple con las condiciones para ser considerado ENTE PEQUEÑO, tomando en cuenta la segunda parte de la RT 41 de la FACPCE, por lo que, l</w:t>
      </w:r>
      <w:r w:rsidR="00A06130" w:rsidRPr="00C62430">
        <w:rPr>
          <w:sz w:val="24"/>
          <w:szCs w:val="24"/>
        </w:rPr>
        <w:t>os criterios de reconocimiento y medición utiliz</w:t>
      </w:r>
      <w:r w:rsidR="00A06130" w:rsidRPr="00C62430">
        <w:rPr>
          <w:sz w:val="24"/>
          <w:szCs w:val="24"/>
        </w:rPr>
        <w:t>a</w:t>
      </w:r>
      <w:r w:rsidR="00A06130" w:rsidRPr="00C62430">
        <w:rPr>
          <w:sz w:val="24"/>
          <w:szCs w:val="24"/>
        </w:rPr>
        <w:t xml:space="preserve">dos son los incluidos en la </w:t>
      </w:r>
      <w:r w:rsidRPr="00C62430">
        <w:rPr>
          <w:sz w:val="24"/>
          <w:szCs w:val="24"/>
        </w:rPr>
        <w:t>norma antes mencionada</w:t>
      </w:r>
      <w:r w:rsidR="00C62430" w:rsidRPr="00C62430">
        <w:rPr>
          <w:sz w:val="24"/>
          <w:szCs w:val="24"/>
        </w:rPr>
        <w:t>.</w:t>
      </w:r>
    </w:p>
    <w:bookmarkEnd w:id="1"/>
    <w:p w:rsidR="00CD1C2E" w:rsidRDefault="00CD1C2E">
      <w:pPr>
        <w:jc w:val="both"/>
        <w:rPr>
          <w:b/>
          <w:sz w:val="28"/>
        </w:rPr>
      </w:pPr>
    </w:p>
    <w:p w:rsidR="00EA6018" w:rsidRDefault="00EA6018">
      <w:pPr>
        <w:jc w:val="both"/>
        <w:rPr>
          <w:b/>
          <w:sz w:val="28"/>
        </w:rPr>
      </w:pPr>
      <w:r>
        <w:rPr>
          <w:b/>
          <w:sz w:val="28"/>
        </w:rPr>
        <w:t xml:space="preserve">2) </w:t>
      </w:r>
      <w:r>
        <w:rPr>
          <w:b/>
          <w:sz w:val="28"/>
          <w:u w:val="single"/>
        </w:rPr>
        <w:t>CAJA Y BANCOS</w:t>
      </w:r>
      <w:r>
        <w:rPr>
          <w:b/>
          <w:sz w:val="28"/>
        </w:rPr>
        <w:t>.</w:t>
      </w:r>
    </w:p>
    <w:p w:rsidR="00576584" w:rsidRDefault="009E4F2B" w:rsidP="00576584">
      <w:pPr>
        <w:ind w:firstLine="708"/>
        <w:jc w:val="both"/>
        <w:rPr>
          <w:sz w:val="24"/>
        </w:rPr>
      </w:pPr>
      <w:r>
        <w:rPr>
          <w:sz w:val="24"/>
        </w:rPr>
        <w:t xml:space="preserve">Los </w:t>
      </w:r>
      <w:r w:rsidR="00576584">
        <w:rPr>
          <w:sz w:val="24"/>
        </w:rPr>
        <w:t>importe</w:t>
      </w:r>
      <w:r>
        <w:rPr>
          <w:sz w:val="24"/>
        </w:rPr>
        <w:t>s</w:t>
      </w:r>
      <w:r w:rsidR="00576584">
        <w:rPr>
          <w:sz w:val="24"/>
        </w:rPr>
        <w:t xml:space="preserve"> consignado</w:t>
      </w:r>
      <w:r>
        <w:rPr>
          <w:sz w:val="24"/>
        </w:rPr>
        <w:t>s</w:t>
      </w:r>
      <w:r w:rsidR="00576584">
        <w:rPr>
          <w:sz w:val="24"/>
        </w:rPr>
        <w:t xml:space="preserve"> corresponde</w:t>
      </w:r>
      <w:r>
        <w:rPr>
          <w:sz w:val="24"/>
        </w:rPr>
        <w:t>n</w:t>
      </w:r>
      <w:r w:rsidR="00576584">
        <w:rPr>
          <w:sz w:val="24"/>
        </w:rPr>
        <w:t xml:space="preserve"> al siguiente detalle:</w:t>
      </w:r>
    </w:p>
    <w:p w:rsidR="00057095" w:rsidRDefault="00057095" w:rsidP="00576584">
      <w:pPr>
        <w:ind w:firstLine="708"/>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276"/>
        <w:gridCol w:w="1484"/>
      </w:tblGrid>
      <w:tr w:rsidR="00622B87" w:rsidTr="00367E3D">
        <w:trPr>
          <w:cantSplit/>
        </w:trPr>
        <w:tc>
          <w:tcPr>
            <w:tcW w:w="4323" w:type="dxa"/>
          </w:tcPr>
          <w:p w:rsidR="00622B87" w:rsidRDefault="00622B87" w:rsidP="009C2643">
            <w:pPr>
              <w:jc w:val="both"/>
              <w:rPr>
                <w:sz w:val="24"/>
              </w:rPr>
            </w:pPr>
          </w:p>
        </w:tc>
        <w:tc>
          <w:tcPr>
            <w:tcW w:w="1276" w:type="dxa"/>
          </w:tcPr>
          <w:p w:rsidR="00622B87" w:rsidRDefault="00622B87" w:rsidP="001C4A74">
            <w:pPr>
              <w:jc w:val="center"/>
              <w:rPr>
                <w:sz w:val="24"/>
              </w:rPr>
            </w:pPr>
            <w:r>
              <w:rPr>
                <w:sz w:val="24"/>
              </w:rPr>
              <w:t>Cierre del ejercicio</w:t>
            </w:r>
          </w:p>
        </w:tc>
        <w:tc>
          <w:tcPr>
            <w:tcW w:w="1484" w:type="dxa"/>
          </w:tcPr>
          <w:p w:rsidR="00622B87" w:rsidRDefault="00622B87" w:rsidP="001C4A74">
            <w:pPr>
              <w:jc w:val="center"/>
              <w:rPr>
                <w:sz w:val="24"/>
              </w:rPr>
            </w:pPr>
            <w:r>
              <w:rPr>
                <w:sz w:val="24"/>
              </w:rPr>
              <w:t>Cierre  eje</w:t>
            </w:r>
            <w:r>
              <w:rPr>
                <w:sz w:val="24"/>
              </w:rPr>
              <w:t>r</w:t>
            </w:r>
            <w:r>
              <w:rPr>
                <w:sz w:val="24"/>
              </w:rPr>
              <w:t>cicio anterior</w:t>
            </w:r>
          </w:p>
        </w:tc>
      </w:tr>
      <w:tr w:rsidR="00622B87" w:rsidTr="00367E3D">
        <w:trPr>
          <w:cantSplit/>
        </w:trPr>
        <w:tc>
          <w:tcPr>
            <w:tcW w:w="4323" w:type="dxa"/>
          </w:tcPr>
          <w:p w:rsidR="00622B87" w:rsidRDefault="00622B87" w:rsidP="009C2643">
            <w:pPr>
              <w:jc w:val="both"/>
              <w:rPr>
                <w:sz w:val="24"/>
              </w:rPr>
            </w:pPr>
            <w:r>
              <w:rPr>
                <w:sz w:val="24"/>
              </w:rPr>
              <w:t>Caja</w:t>
            </w:r>
          </w:p>
        </w:tc>
        <w:tc>
          <w:tcPr>
            <w:tcW w:w="1276" w:type="dxa"/>
          </w:tcPr>
          <w:p w:rsidR="00622B87" w:rsidRPr="00401D82" w:rsidRDefault="00D941AA" w:rsidP="00D941AA">
            <w:pPr>
              <w:jc w:val="right"/>
              <w:rPr>
                <w:sz w:val="24"/>
              </w:rPr>
            </w:pPr>
            <w:r>
              <w:rPr>
                <w:sz w:val="24"/>
              </w:rPr>
              <w:t>2</w:t>
            </w:r>
            <w:r w:rsidR="00622B87">
              <w:rPr>
                <w:sz w:val="24"/>
              </w:rPr>
              <w:t>.000</w:t>
            </w:r>
            <w:r w:rsidR="00622B87" w:rsidRPr="00401D82">
              <w:rPr>
                <w:sz w:val="24"/>
              </w:rPr>
              <w:t>,</w:t>
            </w:r>
            <w:r w:rsidR="00622B87">
              <w:rPr>
                <w:sz w:val="24"/>
              </w:rPr>
              <w:t>00</w:t>
            </w:r>
          </w:p>
        </w:tc>
        <w:tc>
          <w:tcPr>
            <w:tcW w:w="1484" w:type="dxa"/>
          </w:tcPr>
          <w:p w:rsidR="00622B87" w:rsidRDefault="00D941AA" w:rsidP="00D941AA">
            <w:pPr>
              <w:jc w:val="right"/>
              <w:rPr>
                <w:sz w:val="24"/>
              </w:rPr>
            </w:pPr>
            <w:r>
              <w:rPr>
                <w:sz w:val="24"/>
              </w:rPr>
              <w:t>9</w:t>
            </w:r>
            <w:r w:rsidR="00367E3D">
              <w:rPr>
                <w:sz w:val="24"/>
              </w:rPr>
              <w:t>.</w:t>
            </w:r>
            <w:r>
              <w:rPr>
                <w:sz w:val="24"/>
              </w:rPr>
              <w:t>229</w:t>
            </w:r>
            <w:r w:rsidR="00367E3D">
              <w:rPr>
                <w:sz w:val="24"/>
              </w:rPr>
              <w:t>,</w:t>
            </w:r>
            <w:r>
              <w:rPr>
                <w:sz w:val="24"/>
              </w:rPr>
              <w:t>80</w:t>
            </w:r>
          </w:p>
        </w:tc>
      </w:tr>
      <w:tr w:rsidR="00622B87" w:rsidTr="00367E3D">
        <w:trPr>
          <w:cantSplit/>
        </w:trPr>
        <w:tc>
          <w:tcPr>
            <w:tcW w:w="4323" w:type="dxa"/>
          </w:tcPr>
          <w:p w:rsidR="00622B87" w:rsidRDefault="00622B87" w:rsidP="00C915A4">
            <w:pPr>
              <w:jc w:val="both"/>
              <w:rPr>
                <w:sz w:val="24"/>
              </w:rPr>
            </w:pPr>
            <w:r>
              <w:rPr>
                <w:sz w:val="24"/>
              </w:rPr>
              <w:t>Banco Santander Cta. Cte.</w:t>
            </w:r>
          </w:p>
        </w:tc>
        <w:tc>
          <w:tcPr>
            <w:tcW w:w="1276" w:type="dxa"/>
          </w:tcPr>
          <w:p w:rsidR="00622B87" w:rsidRPr="00401D82" w:rsidRDefault="00D941AA" w:rsidP="00D941AA">
            <w:pPr>
              <w:jc w:val="right"/>
              <w:rPr>
                <w:sz w:val="24"/>
              </w:rPr>
            </w:pPr>
            <w:r>
              <w:rPr>
                <w:sz w:val="24"/>
              </w:rPr>
              <w:t>3</w:t>
            </w:r>
            <w:r w:rsidR="00622B87">
              <w:rPr>
                <w:sz w:val="24"/>
              </w:rPr>
              <w:t>00,00</w:t>
            </w:r>
          </w:p>
        </w:tc>
        <w:tc>
          <w:tcPr>
            <w:tcW w:w="1484" w:type="dxa"/>
          </w:tcPr>
          <w:p w:rsidR="00622B87" w:rsidRDefault="00D941AA" w:rsidP="00D941AA">
            <w:pPr>
              <w:jc w:val="right"/>
              <w:rPr>
                <w:sz w:val="24"/>
              </w:rPr>
            </w:pPr>
            <w:r>
              <w:rPr>
                <w:sz w:val="24"/>
              </w:rPr>
              <w:t>769</w:t>
            </w:r>
            <w:r w:rsidR="00367E3D">
              <w:rPr>
                <w:sz w:val="24"/>
              </w:rPr>
              <w:t>,</w:t>
            </w:r>
            <w:r>
              <w:rPr>
                <w:sz w:val="24"/>
              </w:rPr>
              <w:t>1</w:t>
            </w:r>
            <w:r w:rsidR="00367E3D">
              <w:rPr>
                <w:sz w:val="24"/>
              </w:rPr>
              <w:t>5</w:t>
            </w:r>
          </w:p>
        </w:tc>
      </w:tr>
      <w:tr w:rsidR="000D76EE" w:rsidTr="00367E3D">
        <w:trPr>
          <w:cantSplit/>
        </w:trPr>
        <w:tc>
          <w:tcPr>
            <w:tcW w:w="4323" w:type="dxa"/>
          </w:tcPr>
          <w:p w:rsidR="000D76EE" w:rsidRPr="000D76EE" w:rsidRDefault="000D76EE" w:rsidP="00C915A4">
            <w:pPr>
              <w:jc w:val="both"/>
              <w:rPr>
                <w:b/>
                <w:sz w:val="24"/>
              </w:rPr>
            </w:pPr>
            <w:r w:rsidRPr="000D76EE">
              <w:rPr>
                <w:b/>
                <w:sz w:val="24"/>
              </w:rPr>
              <w:t>Total</w:t>
            </w:r>
          </w:p>
        </w:tc>
        <w:tc>
          <w:tcPr>
            <w:tcW w:w="1276" w:type="dxa"/>
          </w:tcPr>
          <w:p w:rsidR="000D76EE" w:rsidRPr="000D76EE" w:rsidRDefault="00D941AA" w:rsidP="00D941AA">
            <w:pPr>
              <w:jc w:val="right"/>
              <w:rPr>
                <w:b/>
                <w:sz w:val="24"/>
              </w:rPr>
            </w:pPr>
            <w:r>
              <w:rPr>
                <w:b/>
                <w:sz w:val="24"/>
              </w:rPr>
              <w:t>2</w:t>
            </w:r>
            <w:r w:rsidR="000D76EE" w:rsidRPr="000D76EE">
              <w:rPr>
                <w:b/>
                <w:sz w:val="24"/>
              </w:rPr>
              <w:t>.</w:t>
            </w:r>
            <w:r>
              <w:rPr>
                <w:b/>
                <w:sz w:val="24"/>
              </w:rPr>
              <w:t>3</w:t>
            </w:r>
            <w:r w:rsidR="000D76EE" w:rsidRPr="000D76EE">
              <w:rPr>
                <w:b/>
                <w:sz w:val="24"/>
              </w:rPr>
              <w:t>00,00</w:t>
            </w:r>
          </w:p>
        </w:tc>
        <w:tc>
          <w:tcPr>
            <w:tcW w:w="1484" w:type="dxa"/>
          </w:tcPr>
          <w:p w:rsidR="000D76EE" w:rsidRPr="000D76EE" w:rsidRDefault="00D941AA" w:rsidP="00D941AA">
            <w:pPr>
              <w:jc w:val="right"/>
              <w:rPr>
                <w:b/>
                <w:sz w:val="24"/>
              </w:rPr>
            </w:pPr>
            <w:r>
              <w:rPr>
                <w:b/>
                <w:sz w:val="24"/>
              </w:rPr>
              <w:t>9</w:t>
            </w:r>
            <w:r w:rsidR="000D76EE" w:rsidRPr="000D76EE">
              <w:rPr>
                <w:b/>
                <w:sz w:val="24"/>
              </w:rPr>
              <w:t>.</w:t>
            </w:r>
            <w:r>
              <w:rPr>
                <w:b/>
                <w:sz w:val="24"/>
              </w:rPr>
              <w:t>998,95</w:t>
            </w:r>
          </w:p>
        </w:tc>
      </w:tr>
    </w:tbl>
    <w:p w:rsidR="0023694E" w:rsidRDefault="0023694E" w:rsidP="0023694E">
      <w:pPr>
        <w:jc w:val="both"/>
        <w:rPr>
          <w:b/>
          <w:sz w:val="28"/>
        </w:rPr>
      </w:pPr>
    </w:p>
    <w:p w:rsidR="0023694E" w:rsidRDefault="0023694E" w:rsidP="0023694E">
      <w:pPr>
        <w:jc w:val="both"/>
        <w:rPr>
          <w:b/>
          <w:sz w:val="28"/>
        </w:rPr>
      </w:pPr>
      <w:r>
        <w:rPr>
          <w:b/>
          <w:sz w:val="28"/>
        </w:rPr>
        <w:t xml:space="preserve">3) </w:t>
      </w:r>
      <w:r>
        <w:rPr>
          <w:b/>
          <w:sz w:val="28"/>
          <w:u w:val="single"/>
        </w:rPr>
        <w:t>CREDITOS POR VENTAS</w:t>
      </w:r>
      <w:r>
        <w:rPr>
          <w:b/>
          <w:sz w:val="28"/>
        </w:rPr>
        <w:t>.</w:t>
      </w:r>
    </w:p>
    <w:p w:rsidR="0023694E" w:rsidRDefault="0023694E" w:rsidP="0023694E">
      <w:pPr>
        <w:pStyle w:val="Textoindependiente"/>
        <w:spacing w:before="120"/>
        <w:ind w:firstLine="708"/>
        <w:rPr>
          <w:sz w:val="24"/>
        </w:rPr>
      </w:pPr>
      <w:r>
        <w:rPr>
          <w:sz w:val="24"/>
        </w:rPr>
        <w:t>Los Créditos por Ventas, en su totalidad corrientes, corresponden al siguiente detalle:</w:t>
      </w:r>
    </w:p>
    <w:p w:rsidR="00367E3D" w:rsidRDefault="00367E3D" w:rsidP="0023694E">
      <w:pPr>
        <w:pStyle w:val="Textoindependiente"/>
        <w:spacing w:before="120"/>
        <w:ind w:firstLine="708"/>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276"/>
        <w:gridCol w:w="1484"/>
      </w:tblGrid>
      <w:tr w:rsidR="00367E3D" w:rsidTr="007D3C33">
        <w:trPr>
          <w:cantSplit/>
        </w:trPr>
        <w:tc>
          <w:tcPr>
            <w:tcW w:w="4323" w:type="dxa"/>
          </w:tcPr>
          <w:p w:rsidR="00367E3D" w:rsidRDefault="00367E3D" w:rsidP="007D3C33">
            <w:pPr>
              <w:jc w:val="both"/>
              <w:rPr>
                <w:sz w:val="24"/>
              </w:rPr>
            </w:pPr>
          </w:p>
        </w:tc>
        <w:tc>
          <w:tcPr>
            <w:tcW w:w="1276" w:type="dxa"/>
          </w:tcPr>
          <w:p w:rsidR="00367E3D" w:rsidRDefault="00367E3D" w:rsidP="001C4A74">
            <w:pPr>
              <w:jc w:val="center"/>
              <w:rPr>
                <w:sz w:val="24"/>
              </w:rPr>
            </w:pPr>
            <w:r>
              <w:rPr>
                <w:sz w:val="24"/>
              </w:rPr>
              <w:t>Cierre del ejercicio</w:t>
            </w:r>
          </w:p>
        </w:tc>
        <w:tc>
          <w:tcPr>
            <w:tcW w:w="1484" w:type="dxa"/>
          </w:tcPr>
          <w:p w:rsidR="00367E3D" w:rsidRDefault="00367E3D" w:rsidP="001C4A74">
            <w:pPr>
              <w:jc w:val="center"/>
              <w:rPr>
                <w:sz w:val="24"/>
              </w:rPr>
            </w:pPr>
            <w:r>
              <w:rPr>
                <w:sz w:val="24"/>
              </w:rPr>
              <w:t>Cierre  eje</w:t>
            </w:r>
            <w:r>
              <w:rPr>
                <w:sz w:val="24"/>
              </w:rPr>
              <w:t>r</w:t>
            </w:r>
            <w:r>
              <w:rPr>
                <w:sz w:val="24"/>
              </w:rPr>
              <w:t>cicio anterior</w:t>
            </w:r>
          </w:p>
        </w:tc>
      </w:tr>
      <w:tr w:rsidR="001C4A74" w:rsidTr="002A29CE">
        <w:tc>
          <w:tcPr>
            <w:tcW w:w="4323" w:type="dxa"/>
          </w:tcPr>
          <w:p w:rsidR="001C4A74" w:rsidRDefault="001C4A74" w:rsidP="001C4A74">
            <w:pPr>
              <w:jc w:val="both"/>
              <w:rPr>
                <w:sz w:val="24"/>
              </w:rPr>
            </w:pPr>
            <w:r>
              <w:rPr>
                <w:sz w:val="24"/>
              </w:rPr>
              <w:t>Deudores por Ventas</w:t>
            </w:r>
          </w:p>
        </w:tc>
        <w:tc>
          <w:tcPr>
            <w:tcW w:w="1276" w:type="dxa"/>
          </w:tcPr>
          <w:p w:rsidR="001C4A74" w:rsidRDefault="001C4A74" w:rsidP="001C4A74">
            <w:pPr>
              <w:jc w:val="right"/>
              <w:rPr>
                <w:sz w:val="24"/>
              </w:rPr>
            </w:pPr>
            <w:r>
              <w:rPr>
                <w:sz w:val="24"/>
              </w:rPr>
              <w:t>7.000,00</w:t>
            </w:r>
          </w:p>
        </w:tc>
        <w:tc>
          <w:tcPr>
            <w:tcW w:w="1484" w:type="dxa"/>
          </w:tcPr>
          <w:p w:rsidR="001C4A74" w:rsidRDefault="001C542B" w:rsidP="001C542B">
            <w:pPr>
              <w:jc w:val="right"/>
              <w:rPr>
                <w:sz w:val="24"/>
              </w:rPr>
            </w:pPr>
            <w:r>
              <w:rPr>
                <w:sz w:val="24"/>
              </w:rPr>
              <w:t>41</w:t>
            </w:r>
            <w:r w:rsidR="001C4A74">
              <w:rPr>
                <w:sz w:val="24"/>
              </w:rPr>
              <w:t>.</w:t>
            </w:r>
            <w:r>
              <w:rPr>
                <w:sz w:val="24"/>
              </w:rPr>
              <w:t>534</w:t>
            </w:r>
            <w:r w:rsidR="001C4A74">
              <w:rPr>
                <w:sz w:val="24"/>
              </w:rPr>
              <w:t>,</w:t>
            </w:r>
            <w:r>
              <w:rPr>
                <w:sz w:val="24"/>
              </w:rPr>
              <w:t>1</w:t>
            </w:r>
            <w:r w:rsidR="001C4A74">
              <w:rPr>
                <w:sz w:val="24"/>
              </w:rPr>
              <w:t>0</w:t>
            </w:r>
          </w:p>
        </w:tc>
      </w:tr>
      <w:tr w:rsidR="001C4A74" w:rsidTr="002A29CE">
        <w:tc>
          <w:tcPr>
            <w:tcW w:w="4323" w:type="dxa"/>
          </w:tcPr>
          <w:p w:rsidR="001C4A74" w:rsidRDefault="001C4A74" w:rsidP="001C4A74">
            <w:pPr>
              <w:jc w:val="both"/>
              <w:rPr>
                <w:sz w:val="24"/>
              </w:rPr>
            </w:pPr>
            <w:r>
              <w:rPr>
                <w:sz w:val="24"/>
              </w:rPr>
              <w:t>Intereses s/activos a devengar</w:t>
            </w:r>
          </w:p>
        </w:tc>
        <w:tc>
          <w:tcPr>
            <w:tcW w:w="1276" w:type="dxa"/>
          </w:tcPr>
          <w:p w:rsidR="001C4A74" w:rsidRDefault="001C4A74" w:rsidP="004A55C6">
            <w:pPr>
              <w:jc w:val="right"/>
              <w:rPr>
                <w:sz w:val="24"/>
              </w:rPr>
            </w:pPr>
            <w:r>
              <w:rPr>
                <w:sz w:val="24"/>
              </w:rPr>
              <w:t>(6</w:t>
            </w:r>
            <w:r w:rsidR="004A55C6">
              <w:rPr>
                <w:sz w:val="24"/>
              </w:rPr>
              <w:t>4</w:t>
            </w:r>
            <w:r>
              <w:rPr>
                <w:sz w:val="24"/>
              </w:rPr>
              <w:t>,</w:t>
            </w:r>
            <w:r w:rsidR="004A55C6">
              <w:rPr>
                <w:sz w:val="24"/>
              </w:rPr>
              <w:t>89</w:t>
            </w:r>
            <w:r>
              <w:rPr>
                <w:sz w:val="24"/>
              </w:rPr>
              <w:t>)</w:t>
            </w:r>
          </w:p>
        </w:tc>
        <w:tc>
          <w:tcPr>
            <w:tcW w:w="1484" w:type="dxa"/>
          </w:tcPr>
          <w:p w:rsidR="001C4A74" w:rsidRDefault="00D742D2" w:rsidP="001C542B">
            <w:pPr>
              <w:jc w:val="right"/>
              <w:rPr>
                <w:sz w:val="24"/>
              </w:rPr>
            </w:pPr>
            <w:r>
              <w:rPr>
                <w:sz w:val="24"/>
              </w:rPr>
              <w:t>(2</w:t>
            </w:r>
            <w:r w:rsidR="001C542B">
              <w:rPr>
                <w:sz w:val="24"/>
              </w:rPr>
              <w:t>48</w:t>
            </w:r>
            <w:r w:rsidR="001C4A74">
              <w:rPr>
                <w:sz w:val="24"/>
              </w:rPr>
              <w:t>,</w:t>
            </w:r>
            <w:r w:rsidR="001C542B">
              <w:rPr>
                <w:sz w:val="24"/>
              </w:rPr>
              <w:t>70</w:t>
            </w:r>
            <w:r>
              <w:rPr>
                <w:sz w:val="24"/>
              </w:rPr>
              <w:t>)</w:t>
            </w:r>
          </w:p>
        </w:tc>
      </w:tr>
      <w:tr w:rsidR="006A6276" w:rsidTr="002A29CE">
        <w:tc>
          <w:tcPr>
            <w:tcW w:w="4323" w:type="dxa"/>
          </w:tcPr>
          <w:p w:rsidR="006A6276" w:rsidRDefault="006A6276" w:rsidP="00CC545B">
            <w:pPr>
              <w:jc w:val="both"/>
              <w:rPr>
                <w:b/>
                <w:sz w:val="24"/>
              </w:rPr>
            </w:pPr>
            <w:r>
              <w:rPr>
                <w:b/>
                <w:sz w:val="24"/>
              </w:rPr>
              <w:t>Total</w:t>
            </w:r>
          </w:p>
        </w:tc>
        <w:tc>
          <w:tcPr>
            <w:tcW w:w="1276" w:type="dxa"/>
          </w:tcPr>
          <w:p w:rsidR="006A6276" w:rsidRPr="006A6276" w:rsidRDefault="006A6276" w:rsidP="009A765A">
            <w:pPr>
              <w:jc w:val="right"/>
              <w:rPr>
                <w:b/>
                <w:sz w:val="24"/>
              </w:rPr>
            </w:pPr>
            <w:r>
              <w:rPr>
                <w:b/>
                <w:sz w:val="24"/>
              </w:rPr>
              <w:t>6.</w:t>
            </w:r>
            <w:r w:rsidR="009A765A">
              <w:rPr>
                <w:b/>
                <w:sz w:val="24"/>
              </w:rPr>
              <w:t>935</w:t>
            </w:r>
            <w:r>
              <w:rPr>
                <w:b/>
                <w:sz w:val="24"/>
              </w:rPr>
              <w:t>,</w:t>
            </w:r>
            <w:r w:rsidR="009A765A">
              <w:rPr>
                <w:b/>
                <w:sz w:val="24"/>
              </w:rPr>
              <w:t>11</w:t>
            </w:r>
          </w:p>
        </w:tc>
        <w:tc>
          <w:tcPr>
            <w:tcW w:w="1484" w:type="dxa"/>
          </w:tcPr>
          <w:p w:rsidR="006A6276" w:rsidRPr="006A6276" w:rsidRDefault="001C542B" w:rsidP="001C542B">
            <w:pPr>
              <w:jc w:val="right"/>
              <w:rPr>
                <w:b/>
                <w:sz w:val="24"/>
              </w:rPr>
            </w:pPr>
            <w:r>
              <w:rPr>
                <w:b/>
                <w:sz w:val="24"/>
              </w:rPr>
              <w:t>41</w:t>
            </w:r>
            <w:r w:rsidR="006A6276">
              <w:rPr>
                <w:b/>
                <w:sz w:val="24"/>
              </w:rPr>
              <w:t>.</w:t>
            </w:r>
            <w:r>
              <w:rPr>
                <w:b/>
                <w:sz w:val="24"/>
              </w:rPr>
              <w:t>285</w:t>
            </w:r>
            <w:r w:rsidR="006A6276">
              <w:rPr>
                <w:b/>
                <w:sz w:val="24"/>
              </w:rPr>
              <w:t>,</w:t>
            </w:r>
            <w:r>
              <w:rPr>
                <w:b/>
                <w:sz w:val="24"/>
              </w:rPr>
              <w:t>4</w:t>
            </w:r>
            <w:r w:rsidR="006A6276">
              <w:rPr>
                <w:b/>
                <w:sz w:val="24"/>
              </w:rPr>
              <w:t>0</w:t>
            </w:r>
          </w:p>
        </w:tc>
      </w:tr>
    </w:tbl>
    <w:p w:rsidR="0023694E" w:rsidRDefault="0023694E" w:rsidP="0023694E">
      <w:pPr>
        <w:pStyle w:val="Textoindependiente"/>
        <w:spacing w:before="120"/>
        <w:ind w:firstLine="708"/>
        <w:rPr>
          <w:sz w:val="24"/>
        </w:rPr>
      </w:pPr>
      <w:r>
        <w:rPr>
          <w:sz w:val="24"/>
        </w:rPr>
        <w:t>Se encuentran segregados los componentes financieros a devengar, significativos, al cierre.</w:t>
      </w:r>
    </w:p>
    <w:p w:rsidR="00BA4200" w:rsidRDefault="00BA4200" w:rsidP="00BA4200">
      <w:pPr>
        <w:jc w:val="both"/>
        <w:rPr>
          <w:b/>
          <w:sz w:val="28"/>
        </w:rPr>
      </w:pPr>
    </w:p>
    <w:p w:rsidR="00170961" w:rsidRDefault="00A056E1" w:rsidP="00170961">
      <w:pPr>
        <w:jc w:val="both"/>
        <w:rPr>
          <w:b/>
          <w:sz w:val="28"/>
        </w:rPr>
      </w:pPr>
      <w:r>
        <w:rPr>
          <w:b/>
          <w:sz w:val="28"/>
        </w:rPr>
        <w:t>4</w:t>
      </w:r>
      <w:r w:rsidR="00170961">
        <w:rPr>
          <w:b/>
          <w:sz w:val="28"/>
        </w:rPr>
        <w:t xml:space="preserve">) </w:t>
      </w:r>
      <w:r w:rsidR="00170961">
        <w:rPr>
          <w:b/>
          <w:sz w:val="28"/>
          <w:u w:val="single"/>
        </w:rPr>
        <w:t>BIENES DE CAMBIO</w:t>
      </w:r>
      <w:r w:rsidR="00170961">
        <w:rPr>
          <w:b/>
          <w:sz w:val="28"/>
        </w:rPr>
        <w:t>.</w:t>
      </w:r>
    </w:p>
    <w:p w:rsidR="00170961" w:rsidRDefault="00170961" w:rsidP="00170961">
      <w:pPr>
        <w:pStyle w:val="Textoindependiente"/>
        <w:spacing w:before="120"/>
        <w:ind w:firstLine="708"/>
        <w:rPr>
          <w:sz w:val="24"/>
        </w:rPr>
      </w:pPr>
      <w:r>
        <w:rPr>
          <w:sz w:val="24"/>
        </w:rPr>
        <w:t xml:space="preserve">Corresponden a mercaderías de reventa, las mismas han sido </w:t>
      </w:r>
      <w:r w:rsidR="008D486D">
        <w:rPr>
          <w:sz w:val="24"/>
        </w:rPr>
        <w:t>medidas</w:t>
      </w:r>
      <w:r>
        <w:rPr>
          <w:sz w:val="24"/>
        </w:rPr>
        <w:t xml:space="preserve"> a valores </w:t>
      </w:r>
      <w:r w:rsidR="008D486D">
        <w:rPr>
          <w:sz w:val="24"/>
        </w:rPr>
        <w:t xml:space="preserve">corrientes </w:t>
      </w:r>
      <w:r>
        <w:rPr>
          <w:sz w:val="24"/>
        </w:rPr>
        <w:t>a la f</w:t>
      </w:r>
      <w:r>
        <w:rPr>
          <w:sz w:val="24"/>
        </w:rPr>
        <w:t>e</w:t>
      </w:r>
      <w:r>
        <w:rPr>
          <w:sz w:val="24"/>
        </w:rPr>
        <w:t xml:space="preserve">cha de cierre, no superando el Valor Neto de Realización. </w:t>
      </w:r>
    </w:p>
    <w:p w:rsidR="008C63B2" w:rsidRDefault="008C63B2" w:rsidP="008C63B2">
      <w:pPr>
        <w:jc w:val="both"/>
        <w:rPr>
          <w:b/>
          <w:sz w:val="28"/>
        </w:rPr>
      </w:pPr>
    </w:p>
    <w:p w:rsidR="008C63B2" w:rsidRDefault="008C63B2" w:rsidP="008C63B2">
      <w:pPr>
        <w:jc w:val="both"/>
        <w:rPr>
          <w:b/>
          <w:sz w:val="28"/>
        </w:rPr>
      </w:pPr>
      <w:r>
        <w:rPr>
          <w:b/>
          <w:sz w:val="28"/>
        </w:rPr>
        <w:lastRenderedPageBreak/>
        <w:t xml:space="preserve">5) </w:t>
      </w:r>
      <w:r>
        <w:rPr>
          <w:b/>
          <w:sz w:val="28"/>
          <w:u w:val="single"/>
        </w:rPr>
        <w:t>BIENES DE USO</w:t>
      </w:r>
      <w:r>
        <w:rPr>
          <w:b/>
          <w:sz w:val="28"/>
        </w:rPr>
        <w:t>.</w:t>
      </w:r>
    </w:p>
    <w:p w:rsidR="008C63B2" w:rsidRDefault="008C63B2" w:rsidP="008C63B2">
      <w:pPr>
        <w:pStyle w:val="Textoindependiente"/>
        <w:spacing w:before="120"/>
        <w:rPr>
          <w:sz w:val="24"/>
        </w:rPr>
      </w:pPr>
      <w:r>
        <w:rPr>
          <w:sz w:val="24"/>
        </w:rPr>
        <w:tab/>
        <w:t xml:space="preserve">Los bienes de uso se encuentran </w:t>
      </w:r>
      <w:r w:rsidR="00BA71C0">
        <w:rPr>
          <w:sz w:val="24"/>
        </w:rPr>
        <w:t>medidos</w:t>
      </w:r>
      <w:r>
        <w:rPr>
          <w:sz w:val="24"/>
        </w:rPr>
        <w:t xml:space="preserve"> a su valor de costo reexpresado menos su</w:t>
      </w:r>
      <w:r w:rsidR="00BA71C0">
        <w:rPr>
          <w:sz w:val="24"/>
        </w:rPr>
        <w:t>s</w:t>
      </w:r>
      <w:r>
        <w:rPr>
          <w:sz w:val="24"/>
        </w:rPr>
        <w:t xml:space="preserve"> amortizaci</w:t>
      </w:r>
      <w:r w:rsidR="00BA71C0">
        <w:rPr>
          <w:sz w:val="24"/>
        </w:rPr>
        <w:t>o</w:t>
      </w:r>
      <w:r w:rsidR="00BA71C0">
        <w:rPr>
          <w:sz w:val="24"/>
        </w:rPr>
        <w:t>nes</w:t>
      </w:r>
      <w:r>
        <w:rPr>
          <w:sz w:val="24"/>
        </w:rPr>
        <w:t xml:space="preserve"> acumulada</w:t>
      </w:r>
      <w:r w:rsidR="00BA71C0">
        <w:rPr>
          <w:sz w:val="24"/>
        </w:rPr>
        <w:t>s</w:t>
      </w:r>
      <w:r>
        <w:rPr>
          <w:sz w:val="24"/>
        </w:rPr>
        <w:t>, conforme a lo explicitado en Nota 1.</w:t>
      </w:r>
    </w:p>
    <w:p w:rsidR="008C63B2" w:rsidRDefault="008C63B2" w:rsidP="008C63B2">
      <w:pPr>
        <w:pStyle w:val="Textoindependiente"/>
        <w:spacing w:before="120"/>
        <w:ind w:firstLine="708"/>
        <w:rPr>
          <w:sz w:val="24"/>
        </w:rPr>
      </w:pPr>
      <w:r>
        <w:rPr>
          <w:sz w:val="24"/>
        </w:rPr>
        <w:t>A todos se les ha detraído las correspondientes depreciaciones acumuladas, las que son calculadas por el método de la línea recta, aplicándose tasas anuales suficientes para extinguir sus valores al final de la vida útil estimada</w:t>
      </w:r>
    </w:p>
    <w:p w:rsidR="008C63B2" w:rsidRDefault="008C63B2" w:rsidP="008C63B2">
      <w:pPr>
        <w:pStyle w:val="Textoindependiente"/>
        <w:spacing w:before="120"/>
        <w:ind w:firstLine="708"/>
        <w:rPr>
          <w:rFonts w:ascii="Arial Narrow" w:hAnsi="Arial Narrow"/>
          <w:b/>
          <w:i/>
          <w:color w:val="FF0000"/>
          <w:sz w:val="24"/>
        </w:rPr>
      </w:pPr>
      <w:r>
        <w:rPr>
          <w:sz w:val="24"/>
        </w:rPr>
        <w:t>La medición de los Bienes de Uso no supera su valor recuperable (habiéndose considerado como tal al Valor Neto de Realización).</w:t>
      </w:r>
    </w:p>
    <w:p w:rsidR="00BC30D7" w:rsidRDefault="00BC30D7" w:rsidP="00BC30D7">
      <w:pPr>
        <w:jc w:val="both"/>
        <w:rPr>
          <w:b/>
          <w:sz w:val="28"/>
        </w:rPr>
      </w:pPr>
    </w:p>
    <w:p w:rsidR="00BC30D7" w:rsidRDefault="008C63B2" w:rsidP="00BC30D7">
      <w:pPr>
        <w:jc w:val="both"/>
        <w:rPr>
          <w:b/>
          <w:sz w:val="28"/>
        </w:rPr>
      </w:pPr>
      <w:r>
        <w:rPr>
          <w:b/>
          <w:sz w:val="28"/>
        </w:rPr>
        <w:t>6</w:t>
      </w:r>
      <w:r w:rsidR="00BC30D7">
        <w:rPr>
          <w:b/>
          <w:sz w:val="28"/>
        </w:rPr>
        <w:t xml:space="preserve">) </w:t>
      </w:r>
      <w:r w:rsidR="00BC30D7">
        <w:rPr>
          <w:b/>
          <w:sz w:val="28"/>
          <w:u w:val="single"/>
        </w:rPr>
        <w:t>DEUDAS COMERCIALES.</w:t>
      </w:r>
    </w:p>
    <w:p w:rsidR="00BC30D7" w:rsidRDefault="00BC30D7" w:rsidP="00BC30D7">
      <w:pPr>
        <w:pStyle w:val="Textoindependiente"/>
        <w:spacing w:before="120"/>
        <w:ind w:firstLine="708"/>
        <w:rPr>
          <w:sz w:val="24"/>
        </w:rPr>
      </w:pPr>
      <w:r>
        <w:rPr>
          <w:sz w:val="24"/>
        </w:rPr>
        <w:t>Las deudas comerciales son en su totalidad corrientes. Se encuentran segregados los componentes financieros a devengar, significativos, al cierre. El detalle es el siguiente:</w:t>
      </w:r>
    </w:p>
    <w:p w:rsidR="00436E17" w:rsidRDefault="00436E17" w:rsidP="00BC30D7">
      <w:pPr>
        <w:pStyle w:val="Textoindependiente"/>
        <w:spacing w:before="120"/>
        <w:ind w:firstLine="708"/>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276"/>
        <w:gridCol w:w="1484"/>
      </w:tblGrid>
      <w:tr w:rsidR="00436E17" w:rsidTr="007D3C33">
        <w:trPr>
          <w:cantSplit/>
        </w:trPr>
        <w:tc>
          <w:tcPr>
            <w:tcW w:w="4323" w:type="dxa"/>
          </w:tcPr>
          <w:p w:rsidR="00436E17" w:rsidRDefault="00436E17" w:rsidP="007D3C33">
            <w:pPr>
              <w:jc w:val="both"/>
              <w:rPr>
                <w:sz w:val="24"/>
              </w:rPr>
            </w:pPr>
          </w:p>
        </w:tc>
        <w:tc>
          <w:tcPr>
            <w:tcW w:w="1276" w:type="dxa"/>
          </w:tcPr>
          <w:p w:rsidR="00436E17" w:rsidRDefault="00436E17" w:rsidP="007D3C33">
            <w:pPr>
              <w:jc w:val="center"/>
              <w:rPr>
                <w:sz w:val="24"/>
              </w:rPr>
            </w:pPr>
            <w:r>
              <w:rPr>
                <w:sz w:val="24"/>
              </w:rPr>
              <w:t>Cierre del ejercicio</w:t>
            </w:r>
          </w:p>
        </w:tc>
        <w:tc>
          <w:tcPr>
            <w:tcW w:w="1484" w:type="dxa"/>
          </w:tcPr>
          <w:p w:rsidR="00436E17" w:rsidRDefault="00436E17" w:rsidP="007D3C33">
            <w:pPr>
              <w:jc w:val="center"/>
              <w:rPr>
                <w:sz w:val="24"/>
              </w:rPr>
            </w:pPr>
            <w:r>
              <w:rPr>
                <w:sz w:val="24"/>
              </w:rPr>
              <w:t>Cierre  eje</w:t>
            </w:r>
            <w:r>
              <w:rPr>
                <w:sz w:val="24"/>
              </w:rPr>
              <w:t>r</w:t>
            </w:r>
            <w:r>
              <w:rPr>
                <w:sz w:val="24"/>
              </w:rPr>
              <w:t>cicio anterior</w:t>
            </w:r>
          </w:p>
        </w:tc>
      </w:tr>
      <w:tr w:rsidR="00436E17" w:rsidRPr="00C87BC0" w:rsidTr="00436E17">
        <w:tc>
          <w:tcPr>
            <w:tcW w:w="4323" w:type="dxa"/>
          </w:tcPr>
          <w:p w:rsidR="00436E17" w:rsidRPr="00401D82" w:rsidRDefault="00436E17" w:rsidP="00436E17">
            <w:pPr>
              <w:jc w:val="both"/>
              <w:rPr>
                <w:bCs/>
                <w:sz w:val="24"/>
              </w:rPr>
            </w:pPr>
            <w:r>
              <w:rPr>
                <w:bCs/>
                <w:sz w:val="24"/>
              </w:rPr>
              <w:t>Proveedores</w:t>
            </w:r>
          </w:p>
        </w:tc>
        <w:tc>
          <w:tcPr>
            <w:tcW w:w="1276" w:type="dxa"/>
          </w:tcPr>
          <w:p w:rsidR="00436E17" w:rsidRPr="008623B5" w:rsidRDefault="00436E17" w:rsidP="00436E17">
            <w:pPr>
              <w:jc w:val="right"/>
              <w:rPr>
                <w:bCs/>
                <w:sz w:val="24"/>
              </w:rPr>
            </w:pPr>
            <w:r>
              <w:rPr>
                <w:bCs/>
                <w:sz w:val="24"/>
              </w:rPr>
              <w:t>8.000,00</w:t>
            </w:r>
          </w:p>
        </w:tc>
        <w:tc>
          <w:tcPr>
            <w:tcW w:w="1484" w:type="dxa"/>
          </w:tcPr>
          <w:p w:rsidR="00436E17" w:rsidRPr="00C87BC0" w:rsidRDefault="00436E17" w:rsidP="00D25D1D">
            <w:pPr>
              <w:jc w:val="right"/>
            </w:pPr>
            <w:r>
              <w:rPr>
                <w:bCs/>
                <w:sz w:val="24"/>
              </w:rPr>
              <w:t>5</w:t>
            </w:r>
            <w:r w:rsidR="00D25D1D">
              <w:rPr>
                <w:bCs/>
                <w:sz w:val="24"/>
              </w:rPr>
              <w:t>8</w:t>
            </w:r>
            <w:r>
              <w:rPr>
                <w:bCs/>
                <w:sz w:val="24"/>
              </w:rPr>
              <w:t>.</w:t>
            </w:r>
            <w:r w:rsidR="00D25D1D">
              <w:rPr>
                <w:bCs/>
                <w:sz w:val="24"/>
              </w:rPr>
              <w:t>455</w:t>
            </w:r>
            <w:r>
              <w:rPr>
                <w:bCs/>
                <w:sz w:val="24"/>
              </w:rPr>
              <w:t>,</w:t>
            </w:r>
            <w:r w:rsidR="00D25D1D">
              <w:rPr>
                <w:bCs/>
                <w:sz w:val="24"/>
              </w:rPr>
              <w:t>4</w:t>
            </w:r>
            <w:r>
              <w:rPr>
                <w:bCs/>
                <w:sz w:val="24"/>
              </w:rPr>
              <w:t>0</w:t>
            </w:r>
          </w:p>
        </w:tc>
      </w:tr>
      <w:tr w:rsidR="00436E17" w:rsidRPr="00C87BC0" w:rsidTr="00436E17">
        <w:tc>
          <w:tcPr>
            <w:tcW w:w="4323" w:type="dxa"/>
          </w:tcPr>
          <w:p w:rsidR="00436E17" w:rsidRPr="008623B5" w:rsidRDefault="00436E17" w:rsidP="00436E17">
            <w:pPr>
              <w:jc w:val="both"/>
              <w:rPr>
                <w:bCs/>
                <w:sz w:val="24"/>
              </w:rPr>
            </w:pPr>
            <w:r>
              <w:rPr>
                <w:sz w:val="24"/>
              </w:rPr>
              <w:t>Intereses s/pasivos a devengar</w:t>
            </w:r>
          </w:p>
        </w:tc>
        <w:tc>
          <w:tcPr>
            <w:tcW w:w="1276" w:type="dxa"/>
          </w:tcPr>
          <w:p w:rsidR="00436E17" w:rsidRPr="008623B5" w:rsidRDefault="00436E17" w:rsidP="00B91B16">
            <w:pPr>
              <w:jc w:val="right"/>
              <w:rPr>
                <w:bCs/>
                <w:sz w:val="24"/>
              </w:rPr>
            </w:pPr>
            <w:r>
              <w:rPr>
                <w:bCs/>
                <w:sz w:val="24"/>
              </w:rPr>
              <w:t>(</w:t>
            </w:r>
            <w:r w:rsidR="00B91B16">
              <w:rPr>
                <w:bCs/>
                <w:sz w:val="24"/>
              </w:rPr>
              <w:t>115</w:t>
            </w:r>
            <w:r>
              <w:rPr>
                <w:bCs/>
                <w:sz w:val="24"/>
              </w:rPr>
              <w:t>,</w:t>
            </w:r>
            <w:r w:rsidR="00B91B16">
              <w:rPr>
                <w:bCs/>
                <w:sz w:val="24"/>
              </w:rPr>
              <w:t>34</w:t>
            </w:r>
            <w:r>
              <w:rPr>
                <w:bCs/>
                <w:sz w:val="24"/>
              </w:rPr>
              <w:t>)</w:t>
            </w:r>
          </w:p>
        </w:tc>
        <w:tc>
          <w:tcPr>
            <w:tcW w:w="1484" w:type="dxa"/>
          </w:tcPr>
          <w:p w:rsidR="00436E17" w:rsidRPr="00C87BC0" w:rsidRDefault="00436E17" w:rsidP="00B12553">
            <w:pPr>
              <w:jc w:val="right"/>
            </w:pPr>
            <w:r>
              <w:rPr>
                <w:bCs/>
                <w:sz w:val="24"/>
              </w:rPr>
              <w:t>(</w:t>
            </w:r>
            <w:r w:rsidR="00B12553">
              <w:rPr>
                <w:bCs/>
                <w:sz w:val="24"/>
              </w:rPr>
              <w:t>842</w:t>
            </w:r>
            <w:r>
              <w:rPr>
                <w:bCs/>
                <w:sz w:val="24"/>
              </w:rPr>
              <w:t>,</w:t>
            </w:r>
            <w:r w:rsidR="00B12553">
              <w:rPr>
                <w:bCs/>
                <w:sz w:val="24"/>
              </w:rPr>
              <w:t>76</w:t>
            </w:r>
            <w:r>
              <w:rPr>
                <w:bCs/>
                <w:sz w:val="24"/>
              </w:rPr>
              <w:t>)</w:t>
            </w:r>
          </w:p>
        </w:tc>
      </w:tr>
      <w:tr w:rsidR="001529BF" w:rsidRPr="00C87BC0" w:rsidTr="00436E17">
        <w:tc>
          <w:tcPr>
            <w:tcW w:w="4323" w:type="dxa"/>
          </w:tcPr>
          <w:p w:rsidR="001529BF" w:rsidRDefault="001529BF" w:rsidP="00436E17">
            <w:pPr>
              <w:jc w:val="both"/>
              <w:rPr>
                <w:sz w:val="24"/>
              </w:rPr>
            </w:pPr>
            <w:r>
              <w:rPr>
                <w:b/>
                <w:sz w:val="24"/>
              </w:rPr>
              <w:t>Total</w:t>
            </w:r>
          </w:p>
        </w:tc>
        <w:tc>
          <w:tcPr>
            <w:tcW w:w="1276" w:type="dxa"/>
          </w:tcPr>
          <w:p w:rsidR="001529BF" w:rsidRPr="001529BF" w:rsidRDefault="001529BF" w:rsidP="00B91B16">
            <w:pPr>
              <w:jc w:val="right"/>
              <w:rPr>
                <w:b/>
                <w:bCs/>
                <w:sz w:val="24"/>
              </w:rPr>
            </w:pPr>
            <w:r>
              <w:rPr>
                <w:b/>
                <w:bCs/>
                <w:sz w:val="24"/>
              </w:rPr>
              <w:t>7.</w:t>
            </w:r>
            <w:r w:rsidR="00B91B16">
              <w:rPr>
                <w:b/>
                <w:bCs/>
                <w:sz w:val="24"/>
              </w:rPr>
              <w:t>884</w:t>
            </w:r>
            <w:r>
              <w:rPr>
                <w:b/>
                <w:bCs/>
                <w:sz w:val="24"/>
              </w:rPr>
              <w:t>,</w:t>
            </w:r>
            <w:r w:rsidR="00B91B16">
              <w:rPr>
                <w:b/>
                <w:bCs/>
                <w:sz w:val="24"/>
              </w:rPr>
              <w:t>66</w:t>
            </w:r>
          </w:p>
        </w:tc>
        <w:tc>
          <w:tcPr>
            <w:tcW w:w="1484" w:type="dxa"/>
          </w:tcPr>
          <w:p w:rsidR="001529BF" w:rsidRPr="001529BF" w:rsidRDefault="001529BF" w:rsidP="00B12553">
            <w:pPr>
              <w:jc w:val="right"/>
              <w:rPr>
                <w:b/>
                <w:bCs/>
                <w:sz w:val="24"/>
              </w:rPr>
            </w:pPr>
            <w:r>
              <w:rPr>
                <w:b/>
                <w:bCs/>
                <w:sz w:val="24"/>
              </w:rPr>
              <w:t>5</w:t>
            </w:r>
            <w:r w:rsidR="00B12553">
              <w:rPr>
                <w:b/>
                <w:bCs/>
                <w:sz w:val="24"/>
              </w:rPr>
              <w:t>7</w:t>
            </w:r>
            <w:r>
              <w:rPr>
                <w:b/>
                <w:bCs/>
                <w:sz w:val="24"/>
              </w:rPr>
              <w:t>.6</w:t>
            </w:r>
            <w:r w:rsidR="00B12553">
              <w:rPr>
                <w:b/>
                <w:bCs/>
                <w:sz w:val="24"/>
              </w:rPr>
              <w:t>12</w:t>
            </w:r>
            <w:r>
              <w:rPr>
                <w:b/>
                <w:bCs/>
                <w:sz w:val="24"/>
              </w:rPr>
              <w:t>,</w:t>
            </w:r>
            <w:r w:rsidR="00B12553">
              <w:rPr>
                <w:b/>
                <w:bCs/>
                <w:sz w:val="24"/>
              </w:rPr>
              <w:t>64</w:t>
            </w:r>
          </w:p>
        </w:tc>
      </w:tr>
    </w:tbl>
    <w:p w:rsidR="00EA6018" w:rsidRDefault="00EA6018">
      <w:pPr>
        <w:jc w:val="both"/>
        <w:rPr>
          <w:sz w:val="24"/>
        </w:rPr>
      </w:pPr>
    </w:p>
    <w:p w:rsidR="00EA6018" w:rsidRDefault="006165EB">
      <w:pPr>
        <w:jc w:val="both"/>
        <w:rPr>
          <w:b/>
          <w:sz w:val="28"/>
        </w:rPr>
      </w:pPr>
      <w:r>
        <w:rPr>
          <w:b/>
          <w:sz w:val="28"/>
        </w:rPr>
        <w:t>7</w:t>
      </w:r>
      <w:r w:rsidR="00EA6018">
        <w:rPr>
          <w:b/>
          <w:sz w:val="28"/>
        </w:rPr>
        <w:t xml:space="preserve">) </w:t>
      </w:r>
      <w:r w:rsidR="00EA6018">
        <w:rPr>
          <w:b/>
          <w:sz w:val="28"/>
          <w:u w:val="single"/>
        </w:rPr>
        <w:t>D</w:t>
      </w:r>
      <w:r>
        <w:rPr>
          <w:b/>
          <w:sz w:val="28"/>
          <w:u w:val="single"/>
        </w:rPr>
        <w:t>IVIDENDOS A PAGAR</w:t>
      </w:r>
      <w:r w:rsidR="00EA6018">
        <w:rPr>
          <w:b/>
          <w:sz w:val="28"/>
        </w:rPr>
        <w:t>.</w:t>
      </w:r>
    </w:p>
    <w:p w:rsidR="00F827FB" w:rsidRDefault="00EA6018" w:rsidP="00F827FB">
      <w:pPr>
        <w:pStyle w:val="Textoindependiente"/>
        <w:spacing w:before="120"/>
        <w:ind w:firstLine="708"/>
        <w:rPr>
          <w:sz w:val="24"/>
        </w:rPr>
      </w:pPr>
      <w:r>
        <w:rPr>
          <w:sz w:val="24"/>
        </w:rPr>
        <w:t>L</w:t>
      </w:r>
      <w:r w:rsidR="00F827FB">
        <w:rPr>
          <w:sz w:val="24"/>
        </w:rPr>
        <w:t xml:space="preserve">os dividendos a pagar en efectivo son en su totalidad corrientes y </w:t>
      </w:r>
      <w:r>
        <w:rPr>
          <w:sz w:val="24"/>
        </w:rPr>
        <w:t>no vencid</w:t>
      </w:r>
      <w:r w:rsidR="00F827FB">
        <w:rPr>
          <w:sz w:val="24"/>
        </w:rPr>
        <w:t>o</w:t>
      </w:r>
      <w:r>
        <w:rPr>
          <w:sz w:val="24"/>
        </w:rPr>
        <w:t>s</w:t>
      </w:r>
      <w:r w:rsidR="00F827FB">
        <w:rPr>
          <w:sz w:val="24"/>
        </w:rPr>
        <w:t>.</w:t>
      </w:r>
    </w:p>
    <w:p w:rsidR="00EA6018" w:rsidRDefault="00EA6018" w:rsidP="00F827FB">
      <w:pPr>
        <w:pStyle w:val="Textoindependiente"/>
        <w:spacing w:before="120"/>
        <w:ind w:firstLine="708"/>
        <w:rPr>
          <w:b/>
          <w:sz w:val="28"/>
        </w:rPr>
      </w:pPr>
    </w:p>
    <w:p w:rsidR="00EA6018" w:rsidRDefault="00F827FB">
      <w:pPr>
        <w:jc w:val="both"/>
        <w:rPr>
          <w:b/>
          <w:sz w:val="28"/>
        </w:rPr>
      </w:pPr>
      <w:r>
        <w:rPr>
          <w:b/>
          <w:sz w:val="28"/>
        </w:rPr>
        <w:t>8</w:t>
      </w:r>
      <w:r w:rsidR="00EA6018">
        <w:rPr>
          <w:b/>
          <w:sz w:val="28"/>
        </w:rPr>
        <w:t xml:space="preserve">) </w:t>
      </w:r>
      <w:r w:rsidR="00EA6018">
        <w:rPr>
          <w:b/>
          <w:sz w:val="28"/>
          <w:u w:val="single"/>
        </w:rPr>
        <w:t>ESTADO DE FLUJO DE EFECTIVO</w:t>
      </w:r>
      <w:r w:rsidR="00EA6018">
        <w:rPr>
          <w:b/>
          <w:sz w:val="28"/>
        </w:rPr>
        <w:t>.</w:t>
      </w:r>
    </w:p>
    <w:p w:rsidR="00D473AD" w:rsidRPr="004800F0" w:rsidRDefault="00D473AD" w:rsidP="00D473AD">
      <w:pPr>
        <w:ind w:firstLine="708"/>
        <w:jc w:val="both"/>
        <w:rPr>
          <w:sz w:val="24"/>
        </w:rPr>
      </w:pPr>
      <w:r w:rsidRPr="004800F0">
        <w:rPr>
          <w:sz w:val="24"/>
        </w:rPr>
        <w:t>El efectivo y equivalente de efectivo considerado como tales en el E.F.E. está conformado</w:t>
      </w:r>
      <w:r w:rsidR="000D76EE" w:rsidRPr="004800F0">
        <w:rPr>
          <w:sz w:val="24"/>
        </w:rPr>
        <w:t xml:space="preserve"> por los saldos en Caja y Banco</w:t>
      </w:r>
      <w:r w:rsidRPr="004800F0">
        <w:rPr>
          <w:sz w:val="24"/>
        </w:rPr>
        <w:t xml:space="preserve"> expuestos en el Estado de Situación Patrimonial.</w:t>
      </w:r>
    </w:p>
    <w:p w:rsidR="00D473AD" w:rsidRPr="004800F0" w:rsidRDefault="00D473AD" w:rsidP="00D473AD">
      <w:pPr>
        <w:ind w:firstLine="708"/>
        <w:jc w:val="both"/>
        <w:rPr>
          <w:sz w:val="24"/>
        </w:rPr>
      </w:pPr>
      <w:r w:rsidRPr="004800F0">
        <w:rPr>
          <w:sz w:val="24"/>
        </w:rPr>
        <w:t>Las causas operativas de las variaciones del E y EE se presentan por el método indirecto.</w:t>
      </w:r>
    </w:p>
    <w:p w:rsidR="00D473AD" w:rsidRPr="00F4591B" w:rsidRDefault="00D473AD" w:rsidP="00D473AD">
      <w:pPr>
        <w:ind w:firstLine="708"/>
        <w:jc w:val="both"/>
        <w:rPr>
          <w:sz w:val="24"/>
        </w:rPr>
      </w:pPr>
      <w:r w:rsidRPr="004800F0">
        <w:rPr>
          <w:sz w:val="24"/>
        </w:rPr>
        <w:t>Los RFT ($ 1</w:t>
      </w:r>
      <w:r w:rsidR="00AE6F2F">
        <w:rPr>
          <w:sz w:val="24"/>
        </w:rPr>
        <w:t>3</w:t>
      </w:r>
      <w:r w:rsidRPr="004800F0">
        <w:rPr>
          <w:sz w:val="24"/>
        </w:rPr>
        <w:t>.</w:t>
      </w:r>
      <w:r w:rsidR="00A85017">
        <w:rPr>
          <w:sz w:val="24"/>
        </w:rPr>
        <w:t>0</w:t>
      </w:r>
      <w:r w:rsidR="00AE6F2F">
        <w:rPr>
          <w:sz w:val="24"/>
        </w:rPr>
        <w:t>10</w:t>
      </w:r>
      <w:r w:rsidRPr="004800F0">
        <w:rPr>
          <w:sz w:val="24"/>
        </w:rPr>
        <w:t>,</w:t>
      </w:r>
      <w:r w:rsidR="00AE6F2F">
        <w:rPr>
          <w:sz w:val="24"/>
        </w:rPr>
        <w:t>10</w:t>
      </w:r>
      <w:r w:rsidRPr="004800F0">
        <w:rPr>
          <w:sz w:val="24"/>
        </w:rPr>
        <w:t>), que incluyen el RE</w:t>
      </w:r>
      <w:r w:rsidR="00CB5978" w:rsidRPr="004800F0">
        <w:rPr>
          <w:sz w:val="24"/>
        </w:rPr>
        <w:t>CPAM</w:t>
      </w:r>
      <w:r w:rsidRPr="004800F0">
        <w:rPr>
          <w:sz w:val="24"/>
        </w:rPr>
        <w:t>, aún los generados por los componentes de E.y E.E., se presentan dentro de los Resultados Ordinarios, en actividades operativas, de acuerdo con la o</w:t>
      </w:r>
      <w:r w:rsidRPr="004800F0">
        <w:rPr>
          <w:sz w:val="24"/>
        </w:rPr>
        <w:t>p</w:t>
      </w:r>
      <w:r w:rsidRPr="004800F0">
        <w:rPr>
          <w:sz w:val="24"/>
        </w:rPr>
        <w:t>ción de la Interpretación 2 de la FACPCE.</w:t>
      </w:r>
    </w:p>
    <w:p w:rsidR="00D473AD" w:rsidRPr="00057095" w:rsidRDefault="00D473AD" w:rsidP="00057095">
      <w:pPr>
        <w:ind w:firstLine="708"/>
        <w:jc w:val="both"/>
        <w:rPr>
          <w:sz w:val="24"/>
          <w:szCs w:val="24"/>
        </w:rPr>
      </w:pPr>
    </w:p>
    <w:sectPr w:rsidR="00D473AD" w:rsidRPr="00057095" w:rsidSect="000F596D">
      <w:headerReference w:type="default" r:id="rId8"/>
      <w:pgSz w:w="11907" w:h="16840" w:code="9"/>
      <w:pgMar w:top="1418" w:right="567"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3E0" w:rsidRDefault="000333E0">
      <w:r>
        <w:separator/>
      </w:r>
    </w:p>
  </w:endnote>
  <w:endnote w:type="continuationSeparator" w:id="0">
    <w:p w:rsidR="000333E0" w:rsidRDefault="0003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3E0" w:rsidRDefault="000333E0">
      <w:r>
        <w:separator/>
      </w:r>
    </w:p>
  </w:footnote>
  <w:footnote w:type="continuationSeparator" w:id="0">
    <w:p w:rsidR="000333E0" w:rsidRDefault="00033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03" w:rsidRDefault="00B96503">
    <w:pPr>
      <w:pBdr>
        <w:top w:val="single" w:sz="12" w:space="1" w:color="auto"/>
        <w:left w:val="single" w:sz="12" w:space="1" w:color="auto"/>
        <w:bottom w:val="single" w:sz="12" w:space="1" w:color="auto"/>
        <w:right w:val="single" w:sz="12" w:space="1" w:color="auto"/>
      </w:pBdr>
      <w:jc w:val="center"/>
      <w:rPr>
        <w:sz w:val="24"/>
      </w:rPr>
    </w:pPr>
    <w:r>
      <w:rPr>
        <w:sz w:val="24"/>
      </w:rPr>
      <w:t xml:space="preserve">EL </w:t>
    </w:r>
    <w:r w:rsidR="00A06130">
      <w:rPr>
        <w:sz w:val="24"/>
      </w:rPr>
      <w:t>REGRESO</w:t>
    </w:r>
    <w:r>
      <w:rPr>
        <w:sz w:val="24"/>
      </w:rPr>
      <w:t xml:space="preserve"> S.R.L.</w:t>
    </w:r>
  </w:p>
  <w:p w:rsidR="00B96503" w:rsidRDefault="00B96503">
    <w:pPr>
      <w:pBdr>
        <w:top w:val="single" w:sz="12" w:space="1" w:color="auto"/>
        <w:left w:val="single" w:sz="12" w:space="1" w:color="auto"/>
        <w:bottom w:val="single" w:sz="12" w:space="1" w:color="auto"/>
        <w:right w:val="single" w:sz="12" w:space="1" w:color="auto"/>
      </w:pBdr>
      <w:jc w:val="center"/>
    </w:pPr>
    <w:r>
      <w:t xml:space="preserve">NOTAS A LOS ESTADOS CONTABLES EJERCICIO Nº </w:t>
    </w:r>
    <w:r w:rsidR="00A06130">
      <w:t>XX</w:t>
    </w:r>
    <w:r>
      <w:t>. INICIADO EL 01/01/1</w:t>
    </w:r>
    <w:r w:rsidR="00F0795E">
      <w:t>9</w:t>
    </w:r>
    <w:r>
      <w:t xml:space="preserve"> Y FINALIZADO EL 31/12/1</w:t>
    </w:r>
    <w:r w:rsidR="00F0795E">
      <w:t>9</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F0B"/>
    <w:multiLevelType w:val="hybridMultilevel"/>
    <w:tmpl w:val="AB2AFFD4"/>
    <w:lvl w:ilvl="0" w:tplc="FFFFFFFF">
      <w:start w:val="1"/>
      <w:numFmt w:val="bullet"/>
      <w:lvlText w:val=""/>
      <w:legacy w:legacy="1" w:legacySpace="0" w:legacyIndent="283"/>
      <w:lvlJc w:val="left"/>
      <w:pPr>
        <w:ind w:left="28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C9"/>
    <w:rsid w:val="000132CF"/>
    <w:rsid w:val="00022FA3"/>
    <w:rsid w:val="000333E0"/>
    <w:rsid w:val="0005452E"/>
    <w:rsid w:val="00054C8D"/>
    <w:rsid w:val="00057095"/>
    <w:rsid w:val="000766BF"/>
    <w:rsid w:val="000962BF"/>
    <w:rsid w:val="000A45DF"/>
    <w:rsid w:val="000A7897"/>
    <w:rsid w:val="000B71C0"/>
    <w:rsid w:val="000C7D26"/>
    <w:rsid w:val="000D544E"/>
    <w:rsid w:val="000D76EE"/>
    <w:rsid w:val="000E41EA"/>
    <w:rsid w:val="000F596D"/>
    <w:rsid w:val="0010143F"/>
    <w:rsid w:val="00114617"/>
    <w:rsid w:val="0012439E"/>
    <w:rsid w:val="00127FB4"/>
    <w:rsid w:val="0013045E"/>
    <w:rsid w:val="001528CD"/>
    <w:rsid w:val="001529BF"/>
    <w:rsid w:val="001557A6"/>
    <w:rsid w:val="001565C4"/>
    <w:rsid w:val="00160AF5"/>
    <w:rsid w:val="00165AB7"/>
    <w:rsid w:val="001673A5"/>
    <w:rsid w:val="00170961"/>
    <w:rsid w:val="00172867"/>
    <w:rsid w:val="0018161D"/>
    <w:rsid w:val="00182B41"/>
    <w:rsid w:val="00185401"/>
    <w:rsid w:val="00186A4F"/>
    <w:rsid w:val="00187CF0"/>
    <w:rsid w:val="00190F92"/>
    <w:rsid w:val="001A3C83"/>
    <w:rsid w:val="001A52B1"/>
    <w:rsid w:val="001A5B01"/>
    <w:rsid w:val="001B1961"/>
    <w:rsid w:val="001B4789"/>
    <w:rsid w:val="001C06EE"/>
    <w:rsid w:val="001C4A74"/>
    <w:rsid w:val="001C542B"/>
    <w:rsid w:val="001C6CD7"/>
    <w:rsid w:val="001E5116"/>
    <w:rsid w:val="001E741A"/>
    <w:rsid w:val="001F32C9"/>
    <w:rsid w:val="001F3300"/>
    <w:rsid w:val="00216E22"/>
    <w:rsid w:val="00226274"/>
    <w:rsid w:val="00227BA8"/>
    <w:rsid w:val="0023694E"/>
    <w:rsid w:val="00251F78"/>
    <w:rsid w:val="00256AE0"/>
    <w:rsid w:val="00267472"/>
    <w:rsid w:val="00294EFD"/>
    <w:rsid w:val="002A4481"/>
    <w:rsid w:val="002A7677"/>
    <w:rsid w:val="002C0B84"/>
    <w:rsid w:val="00305E8C"/>
    <w:rsid w:val="0030714C"/>
    <w:rsid w:val="00321605"/>
    <w:rsid w:val="00325DB4"/>
    <w:rsid w:val="003341C2"/>
    <w:rsid w:val="003403AB"/>
    <w:rsid w:val="003528BF"/>
    <w:rsid w:val="00367E3D"/>
    <w:rsid w:val="00373FD3"/>
    <w:rsid w:val="003755E6"/>
    <w:rsid w:val="00393DC8"/>
    <w:rsid w:val="00394E65"/>
    <w:rsid w:val="00397085"/>
    <w:rsid w:val="003C6F51"/>
    <w:rsid w:val="003E0578"/>
    <w:rsid w:val="003E403B"/>
    <w:rsid w:val="003F006A"/>
    <w:rsid w:val="00401D82"/>
    <w:rsid w:val="00414594"/>
    <w:rsid w:val="004224A3"/>
    <w:rsid w:val="0043061D"/>
    <w:rsid w:val="00436E17"/>
    <w:rsid w:val="0044468C"/>
    <w:rsid w:val="00457BB5"/>
    <w:rsid w:val="0047071C"/>
    <w:rsid w:val="00477AF4"/>
    <w:rsid w:val="004800F0"/>
    <w:rsid w:val="004A55C6"/>
    <w:rsid w:val="004C5D51"/>
    <w:rsid w:val="004D2BCA"/>
    <w:rsid w:val="004D3335"/>
    <w:rsid w:val="004E5049"/>
    <w:rsid w:val="004E72BF"/>
    <w:rsid w:val="004F2A66"/>
    <w:rsid w:val="004F7648"/>
    <w:rsid w:val="00506809"/>
    <w:rsid w:val="00511102"/>
    <w:rsid w:val="005418EF"/>
    <w:rsid w:val="00566D0C"/>
    <w:rsid w:val="00576584"/>
    <w:rsid w:val="00577AC0"/>
    <w:rsid w:val="005924D2"/>
    <w:rsid w:val="005C6D0F"/>
    <w:rsid w:val="005E0054"/>
    <w:rsid w:val="005E577A"/>
    <w:rsid w:val="005E60F8"/>
    <w:rsid w:val="005F4C6D"/>
    <w:rsid w:val="005F52FB"/>
    <w:rsid w:val="006165EB"/>
    <w:rsid w:val="00622B87"/>
    <w:rsid w:val="00626112"/>
    <w:rsid w:val="006272A7"/>
    <w:rsid w:val="00632FF4"/>
    <w:rsid w:val="006332E9"/>
    <w:rsid w:val="00660A72"/>
    <w:rsid w:val="006712DA"/>
    <w:rsid w:val="006767D0"/>
    <w:rsid w:val="0068064C"/>
    <w:rsid w:val="00693BE6"/>
    <w:rsid w:val="006A3587"/>
    <w:rsid w:val="006A6276"/>
    <w:rsid w:val="006B02E1"/>
    <w:rsid w:val="006B0546"/>
    <w:rsid w:val="006C08F2"/>
    <w:rsid w:val="006C2EE8"/>
    <w:rsid w:val="006C68C1"/>
    <w:rsid w:val="006E21FE"/>
    <w:rsid w:val="006F4141"/>
    <w:rsid w:val="00704821"/>
    <w:rsid w:val="007142E3"/>
    <w:rsid w:val="0071453F"/>
    <w:rsid w:val="00716D25"/>
    <w:rsid w:val="00723919"/>
    <w:rsid w:val="00726C02"/>
    <w:rsid w:val="007451E6"/>
    <w:rsid w:val="00771C2D"/>
    <w:rsid w:val="007812F3"/>
    <w:rsid w:val="007826FE"/>
    <w:rsid w:val="0079028D"/>
    <w:rsid w:val="007B3720"/>
    <w:rsid w:val="007B3E51"/>
    <w:rsid w:val="007C607B"/>
    <w:rsid w:val="007E077B"/>
    <w:rsid w:val="007E3875"/>
    <w:rsid w:val="00805648"/>
    <w:rsid w:val="008073B5"/>
    <w:rsid w:val="00814BAC"/>
    <w:rsid w:val="008241D1"/>
    <w:rsid w:val="00835111"/>
    <w:rsid w:val="00836333"/>
    <w:rsid w:val="00860A9A"/>
    <w:rsid w:val="008623B5"/>
    <w:rsid w:val="008637B4"/>
    <w:rsid w:val="00864FF9"/>
    <w:rsid w:val="00872BE5"/>
    <w:rsid w:val="008754A7"/>
    <w:rsid w:val="008772FA"/>
    <w:rsid w:val="00883271"/>
    <w:rsid w:val="008A3CB4"/>
    <w:rsid w:val="008B6E8D"/>
    <w:rsid w:val="008C63B2"/>
    <w:rsid w:val="008D486D"/>
    <w:rsid w:val="00934FB4"/>
    <w:rsid w:val="009432E5"/>
    <w:rsid w:val="00955A5D"/>
    <w:rsid w:val="009702A9"/>
    <w:rsid w:val="009712ED"/>
    <w:rsid w:val="00983C28"/>
    <w:rsid w:val="00985436"/>
    <w:rsid w:val="00986C7B"/>
    <w:rsid w:val="00997DBA"/>
    <w:rsid w:val="009A765A"/>
    <w:rsid w:val="009B6794"/>
    <w:rsid w:val="009B78B5"/>
    <w:rsid w:val="009B798E"/>
    <w:rsid w:val="009B7C55"/>
    <w:rsid w:val="009C0180"/>
    <w:rsid w:val="009C2643"/>
    <w:rsid w:val="009D77AC"/>
    <w:rsid w:val="009E4F2B"/>
    <w:rsid w:val="009F515E"/>
    <w:rsid w:val="009F7F7C"/>
    <w:rsid w:val="00A032AD"/>
    <w:rsid w:val="00A040E9"/>
    <w:rsid w:val="00A0504F"/>
    <w:rsid w:val="00A056E1"/>
    <w:rsid w:val="00A06130"/>
    <w:rsid w:val="00A06CF5"/>
    <w:rsid w:val="00A22F00"/>
    <w:rsid w:val="00A504B0"/>
    <w:rsid w:val="00A5273D"/>
    <w:rsid w:val="00A57BB7"/>
    <w:rsid w:val="00A61543"/>
    <w:rsid w:val="00A71E54"/>
    <w:rsid w:val="00A746C5"/>
    <w:rsid w:val="00A813AD"/>
    <w:rsid w:val="00A85017"/>
    <w:rsid w:val="00A9047C"/>
    <w:rsid w:val="00A9343B"/>
    <w:rsid w:val="00A97E79"/>
    <w:rsid w:val="00AA1363"/>
    <w:rsid w:val="00AB2647"/>
    <w:rsid w:val="00AB5233"/>
    <w:rsid w:val="00AB69E2"/>
    <w:rsid w:val="00AD2478"/>
    <w:rsid w:val="00AE6486"/>
    <w:rsid w:val="00AE6F2F"/>
    <w:rsid w:val="00AF173D"/>
    <w:rsid w:val="00AF2FF3"/>
    <w:rsid w:val="00AF68B5"/>
    <w:rsid w:val="00AF6C3B"/>
    <w:rsid w:val="00AF7147"/>
    <w:rsid w:val="00B02318"/>
    <w:rsid w:val="00B04DDA"/>
    <w:rsid w:val="00B12553"/>
    <w:rsid w:val="00B334ED"/>
    <w:rsid w:val="00B44B02"/>
    <w:rsid w:val="00B53C9A"/>
    <w:rsid w:val="00B610E7"/>
    <w:rsid w:val="00B91B16"/>
    <w:rsid w:val="00B924C0"/>
    <w:rsid w:val="00B95241"/>
    <w:rsid w:val="00B964AA"/>
    <w:rsid w:val="00B96503"/>
    <w:rsid w:val="00B974FE"/>
    <w:rsid w:val="00BA4200"/>
    <w:rsid w:val="00BA71C0"/>
    <w:rsid w:val="00BA78EC"/>
    <w:rsid w:val="00BC148E"/>
    <w:rsid w:val="00BC14C6"/>
    <w:rsid w:val="00BC30D7"/>
    <w:rsid w:val="00BF3C1A"/>
    <w:rsid w:val="00C02833"/>
    <w:rsid w:val="00C04023"/>
    <w:rsid w:val="00C2000D"/>
    <w:rsid w:val="00C27676"/>
    <w:rsid w:val="00C3507B"/>
    <w:rsid w:val="00C62430"/>
    <w:rsid w:val="00C62526"/>
    <w:rsid w:val="00C74C10"/>
    <w:rsid w:val="00C915A4"/>
    <w:rsid w:val="00C94768"/>
    <w:rsid w:val="00CB1F39"/>
    <w:rsid w:val="00CB5978"/>
    <w:rsid w:val="00CC5E07"/>
    <w:rsid w:val="00CD1C2E"/>
    <w:rsid w:val="00CD4948"/>
    <w:rsid w:val="00CD545C"/>
    <w:rsid w:val="00CF2DE3"/>
    <w:rsid w:val="00D13F99"/>
    <w:rsid w:val="00D232F4"/>
    <w:rsid w:val="00D25D1D"/>
    <w:rsid w:val="00D43436"/>
    <w:rsid w:val="00D473AD"/>
    <w:rsid w:val="00D512E9"/>
    <w:rsid w:val="00D634B5"/>
    <w:rsid w:val="00D63F28"/>
    <w:rsid w:val="00D70816"/>
    <w:rsid w:val="00D742D2"/>
    <w:rsid w:val="00D85447"/>
    <w:rsid w:val="00D941AA"/>
    <w:rsid w:val="00D953F0"/>
    <w:rsid w:val="00DA1302"/>
    <w:rsid w:val="00DB7E06"/>
    <w:rsid w:val="00DC11C8"/>
    <w:rsid w:val="00DC7116"/>
    <w:rsid w:val="00DD17DC"/>
    <w:rsid w:val="00DE2B16"/>
    <w:rsid w:val="00DF21A4"/>
    <w:rsid w:val="00DF5BBA"/>
    <w:rsid w:val="00E07CC5"/>
    <w:rsid w:val="00E178DB"/>
    <w:rsid w:val="00E211BA"/>
    <w:rsid w:val="00E535AF"/>
    <w:rsid w:val="00E660AA"/>
    <w:rsid w:val="00E66AEC"/>
    <w:rsid w:val="00E70050"/>
    <w:rsid w:val="00E74DE6"/>
    <w:rsid w:val="00E7783A"/>
    <w:rsid w:val="00E9347D"/>
    <w:rsid w:val="00E972E9"/>
    <w:rsid w:val="00EA0439"/>
    <w:rsid w:val="00EA3584"/>
    <w:rsid w:val="00EA6018"/>
    <w:rsid w:val="00EB04B1"/>
    <w:rsid w:val="00EC001F"/>
    <w:rsid w:val="00ED00AD"/>
    <w:rsid w:val="00EE0701"/>
    <w:rsid w:val="00EE7399"/>
    <w:rsid w:val="00EF6D2B"/>
    <w:rsid w:val="00F0562E"/>
    <w:rsid w:val="00F0795E"/>
    <w:rsid w:val="00F10C37"/>
    <w:rsid w:val="00F30C81"/>
    <w:rsid w:val="00F3294F"/>
    <w:rsid w:val="00F333B8"/>
    <w:rsid w:val="00F505F9"/>
    <w:rsid w:val="00F73D40"/>
    <w:rsid w:val="00F8274D"/>
    <w:rsid w:val="00F827FB"/>
    <w:rsid w:val="00F9111F"/>
    <w:rsid w:val="00F93AD2"/>
    <w:rsid w:val="00FA188C"/>
    <w:rsid w:val="00FA2AEC"/>
    <w:rsid w:val="00FA3834"/>
    <w:rsid w:val="00FB376A"/>
    <w:rsid w:val="00FD1C51"/>
    <w:rsid w:val="00FD4800"/>
    <w:rsid w:val="00FE4992"/>
    <w:rsid w:val="00FF31B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D"/>
    <w:rPr>
      <w:lang w:val="es-ES_tradnl" w:eastAsia="es-ES"/>
    </w:rPr>
  </w:style>
  <w:style w:type="paragraph" w:styleId="Ttulo1">
    <w:name w:val="heading 1"/>
    <w:basedOn w:val="Normal"/>
    <w:next w:val="Normal"/>
    <w:qFormat/>
    <w:rsid w:val="000F596D"/>
    <w:pPr>
      <w:keepNext/>
      <w:outlineLvl w:val="0"/>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596D"/>
    <w:pPr>
      <w:tabs>
        <w:tab w:val="center" w:pos="4252"/>
        <w:tab w:val="right" w:pos="8504"/>
      </w:tabs>
    </w:pPr>
  </w:style>
  <w:style w:type="paragraph" w:styleId="Piedepgina">
    <w:name w:val="footer"/>
    <w:basedOn w:val="Normal"/>
    <w:rsid w:val="000F596D"/>
    <w:pPr>
      <w:tabs>
        <w:tab w:val="center" w:pos="4252"/>
        <w:tab w:val="right" w:pos="8504"/>
      </w:tabs>
    </w:pPr>
  </w:style>
  <w:style w:type="paragraph" w:styleId="Textoindependiente">
    <w:name w:val="Body Text"/>
    <w:basedOn w:val="Normal"/>
    <w:rsid w:val="000F596D"/>
    <w:pPr>
      <w:jc w:val="both"/>
    </w:pPr>
  </w:style>
  <w:style w:type="paragraph" w:styleId="Textoindependiente2">
    <w:name w:val="Body Text 2"/>
    <w:basedOn w:val="Normal"/>
    <w:rsid w:val="000F596D"/>
    <w:pPr>
      <w:jc w:val="both"/>
    </w:pPr>
    <w:rPr>
      <w:color w:val="FF0000"/>
    </w:rPr>
  </w:style>
  <w:style w:type="paragraph" w:styleId="Textoindependiente3">
    <w:name w:val="Body Text 3"/>
    <w:basedOn w:val="Normal"/>
    <w:rsid w:val="000F596D"/>
    <w:pPr>
      <w:spacing w:before="120"/>
      <w:jc w:val="both"/>
    </w:pPr>
    <w:rPr>
      <w:sz w:val="24"/>
    </w:rPr>
  </w:style>
  <w:style w:type="paragraph" w:styleId="Sangradetextonormal">
    <w:name w:val="Body Text Indent"/>
    <w:basedOn w:val="Normal"/>
    <w:rsid w:val="000F596D"/>
    <w:pPr>
      <w:ind w:firstLine="708"/>
      <w:jc w:val="both"/>
    </w:pPr>
    <w:rPr>
      <w:sz w:val="24"/>
    </w:rPr>
  </w:style>
  <w:style w:type="character" w:styleId="Refdecomentario">
    <w:name w:val="annotation reference"/>
    <w:basedOn w:val="Fuentedeprrafopredeter"/>
    <w:rsid w:val="00367E3D"/>
    <w:rPr>
      <w:sz w:val="16"/>
      <w:szCs w:val="16"/>
    </w:rPr>
  </w:style>
  <w:style w:type="paragraph" w:styleId="Textocomentario">
    <w:name w:val="annotation text"/>
    <w:basedOn w:val="Normal"/>
    <w:link w:val="TextocomentarioCar"/>
    <w:rsid w:val="00367E3D"/>
  </w:style>
  <w:style w:type="character" w:customStyle="1" w:styleId="TextocomentarioCar">
    <w:name w:val="Texto comentario Car"/>
    <w:basedOn w:val="Fuentedeprrafopredeter"/>
    <w:link w:val="Textocomentario"/>
    <w:rsid w:val="00367E3D"/>
    <w:rPr>
      <w:lang w:val="es-ES_tradnl" w:eastAsia="es-ES"/>
    </w:rPr>
  </w:style>
  <w:style w:type="paragraph" w:styleId="Asuntodelcomentario">
    <w:name w:val="annotation subject"/>
    <w:basedOn w:val="Textocomentario"/>
    <w:next w:val="Textocomentario"/>
    <w:link w:val="AsuntodelcomentarioCar"/>
    <w:rsid w:val="00367E3D"/>
    <w:rPr>
      <w:b/>
      <w:bCs/>
    </w:rPr>
  </w:style>
  <w:style w:type="character" w:customStyle="1" w:styleId="AsuntodelcomentarioCar">
    <w:name w:val="Asunto del comentario Car"/>
    <w:basedOn w:val="TextocomentarioCar"/>
    <w:link w:val="Asuntodelcomentario"/>
    <w:rsid w:val="00367E3D"/>
    <w:rPr>
      <w:b/>
      <w:bCs/>
      <w:lang w:val="es-ES_tradnl" w:eastAsia="es-ES"/>
    </w:rPr>
  </w:style>
  <w:style w:type="paragraph" w:styleId="Textodeglobo">
    <w:name w:val="Balloon Text"/>
    <w:basedOn w:val="Normal"/>
    <w:link w:val="TextodegloboCar"/>
    <w:rsid w:val="00367E3D"/>
    <w:rPr>
      <w:rFonts w:ascii="Segoe UI" w:hAnsi="Segoe UI" w:cs="Segoe UI"/>
      <w:sz w:val="18"/>
      <w:szCs w:val="18"/>
    </w:rPr>
  </w:style>
  <w:style w:type="character" w:customStyle="1" w:styleId="TextodegloboCar">
    <w:name w:val="Texto de globo Car"/>
    <w:basedOn w:val="Fuentedeprrafopredeter"/>
    <w:link w:val="Textodeglobo"/>
    <w:rsid w:val="00367E3D"/>
    <w:rPr>
      <w:rFonts w:ascii="Segoe UI" w:hAnsi="Segoe UI" w:cs="Segoe UI"/>
      <w:sz w:val="18"/>
      <w:szCs w:val="1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D"/>
    <w:rPr>
      <w:lang w:val="es-ES_tradnl" w:eastAsia="es-ES"/>
    </w:rPr>
  </w:style>
  <w:style w:type="paragraph" w:styleId="Ttulo1">
    <w:name w:val="heading 1"/>
    <w:basedOn w:val="Normal"/>
    <w:next w:val="Normal"/>
    <w:qFormat/>
    <w:rsid w:val="000F596D"/>
    <w:pPr>
      <w:keepNext/>
      <w:outlineLvl w:val="0"/>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596D"/>
    <w:pPr>
      <w:tabs>
        <w:tab w:val="center" w:pos="4252"/>
        <w:tab w:val="right" w:pos="8504"/>
      </w:tabs>
    </w:pPr>
  </w:style>
  <w:style w:type="paragraph" w:styleId="Piedepgina">
    <w:name w:val="footer"/>
    <w:basedOn w:val="Normal"/>
    <w:rsid w:val="000F596D"/>
    <w:pPr>
      <w:tabs>
        <w:tab w:val="center" w:pos="4252"/>
        <w:tab w:val="right" w:pos="8504"/>
      </w:tabs>
    </w:pPr>
  </w:style>
  <w:style w:type="paragraph" w:styleId="Textoindependiente">
    <w:name w:val="Body Text"/>
    <w:basedOn w:val="Normal"/>
    <w:rsid w:val="000F596D"/>
    <w:pPr>
      <w:jc w:val="both"/>
    </w:pPr>
  </w:style>
  <w:style w:type="paragraph" w:styleId="Textoindependiente2">
    <w:name w:val="Body Text 2"/>
    <w:basedOn w:val="Normal"/>
    <w:rsid w:val="000F596D"/>
    <w:pPr>
      <w:jc w:val="both"/>
    </w:pPr>
    <w:rPr>
      <w:color w:val="FF0000"/>
    </w:rPr>
  </w:style>
  <w:style w:type="paragraph" w:styleId="Textoindependiente3">
    <w:name w:val="Body Text 3"/>
    <w:basedOn w:val="Normal"/>
    <w:rsid w:val="000F596D"/>
    <w:pPr>
      <w:spacing w:before="120"/>
      <w:jc w:val="both"/>
    </w:pPr>
    <w:rPr>
      <w:sz w:val="24"/>
    </w:rPr>
  </w:style>
  <w:style w:type="paragraph" w:styleId="Sangradetextonormal">
    <w:name w:val="Body Text Indent"/>
    <w:basedOn w:val="Normal"/>
    <w:rsid w:val="000F596D"/>
    <w:pPr>
      <w:ind w:firstLine="708"/>
      <w:jc w:val="both"/>
    </w:pPr>
    <w:rPr>
      <w:sz w:val="24"/>
    </w:rPr>
  </w:style>
  <w:style w:type="character" w:styleId="Refdecomentario">
    <w:name w:val="annotation reference"/>
    <w:basedOn w:val="Fuentedeprrafopredeter"/>
    <w:rsid w:val="00367E3D"/>
    <w:rPr>
      <w:sz w:val="16"/>
      <w:szCs w:val="16"/>
    </w:rPr>
  </w:style>
  <w:style w:type="paragraph" w:styleId="Textocomentario">
    <w:name w:val="annotation text"/>
    <w:basedOn w:val="Normal"/>
    <w:link w:val="TextocomentarioCar"/>
    <w:rsid w:val="00367E3D"/>
  </w:style>
  <w:style w:type="character" w:customStyle="1" w:styleId="TextocomentarioCar">
    <w:name w:val="Texto comentario Car"/>
    <w:basedOn w:val="Fuentedeprrafopredeter"/>
    <w:link w:val="Textocomentario"/>
    <w:rsid w:val="00367E3D"/>
    <w:rPr>
      <w:lang w:val="es-ES_tradnl" w:eastAsia="es-ES"/>
    </w:rPr>
  </w:style>
  <w:style w:type="paragraph" w:styleId="Asuntodelcomentario">
    <w:name w:val="annotation subject"/>
    <w:basedOn w:val="Textocomentario"/>
    <w:next w:val="Textocomentario"/>
    <w:link w:val="AsuntodelcomentarioCar"/>
    <w:rsid w:val="00367E3D"/>
    <w:rPr>
      <w:b/>
      <w:bCs/>
    </w:rPr>
  </w:style>
  <w:style w:type="character" w:customStyle="1" w:styleId="AsuntodelcomentarioCar">
    <w:name w:val="Asunto del comentario Car"/>
    <w:basedOn w:val="TextocomentarioCar"/>
    <w:link w:val="Asuntodelcomentario"/>
    <w:rsid w:val="00367E3D"/>
    <w:rPr>
      <w:b/>
      <w:bCs/>
      <w:lang w:val="es-ES_tradnl" w:eastAsia="es-ES"/>
    </w:rPr>
  </w:style>
  <w:style w:type="paragraph" w:styleId="Textodeglobo">
    <w:name w:val="Balloon Text"/>
    <w:basedOn w:val="Normal"/>
    <w:link w:val="TextodegloboCar"/>
    <w:rsid w:val="00367E3D"/>
    <w:rPr>
      <w:rFonts w:ascii="Segoe UI" w:hAnsi="Segoe UI" w:cs="Segoe UI"/>
      <w:sz w:val="18"/>
      <w:szCs w:val="18"/>
    </w:rPr>
  </w:style>
  <w:style w:type="character" w:customStyle="1" w:styleId="TextodegloboCar">
    <w:name w:val="Texto de globo Car"/>
    <w:basedOn w:val="Fuentedeprrafopredeter"/>
    <w:link w:val="Textodeglobo"/>
    <w:rsid w:val="00367E3D"/>
    <w:rPr>
      <w:rFonts w:ascii="Segoe UI"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4096">
      <w:bodyDiv w:val="1"/>
      <w:marLeft w:val="0"/>
      <w:marRight w:val="0"/>
      <w:marTop w:val="0"/>
      <w:marBottom w:val="0"/>
      <w:divBdr>
        <w:top w:val="none" w:sz="0" w:space="0" w:color="auto"/>
        <w:left w:val="none" w:sz="0" w:space="0" w:color="auto"/>
        <w:bottom w:val="none" w:sz="0" w:space="0" w:color="auto"/>
        <w:right w:val="none" w:sz="0" w:space="0" w:color="auto"/>
      </w:divBdr>
    </w:div>
    <w:div w:id="542132604">
      <w:bodyDiv w:val="1"/>
      <w:marLeft w:val="0"/>
      <w:marRight w:val="0"/>
      <w:marTop w:val="0"/>
      <w:marBottom w:val="0"/>
      <w:divBdr>
        <w:top w:val="none" w:sz="0" w:space="0" w:color="auto"/>
        <w:left w:val="none" w:sz="0" w:space="0" w:color="auto"/>
        <w:bottom w:val="none" w:sz="0" w:space="0" w:color="auto"/>
        <w:right w:val="none" w:sz="0" w:space="0" w:color="auto"/>
      </w:divBdr>
    </w:div>
    <w:div w:id="963266537">
      <w:bodyDiv w:val="1"/>
      <w:marLeft w:val="0"/>
      <w:marRight w:val="0"/>
      <w:marTop w:val="0"/>
      <w:marBottom w:val="0"/>
      <w:divBdr>
        <w:top w:val="none" w:sz="0" w:space="0" w:color="auto"/>
        <w:left w:val="none" w:sz="0" w:space="0" w:color="auto"/>
        <w:bottom w:val="none" w:sz="0" w:space="0" w:color="auto"/>
        <w:right w:val="none" w:sz="0" w:space="0" w:color="auto"/>
      </w:divBdr>
    </w:div>
    <w:div w:id="1047413108">
      <w:bodyDiv w:val="1"/>
      <w:marLeft w:val="0"/>
      <w:marRight w:val="0"/>
      <w:marTop w:val="0"/>
      <w:marBottom w:val="0"/>
      <w:divBdr>
        <w:top w:val="none" w:sz="0" w:space="0" w:color="auto"/>
        <w:left w:val="none" w:sz="0" w:space="0" w:color="auto"/>
        <w:bottom w:val="none" w:sz="0" w:space="0" w:color="auto"/>
        <w:right w:val="none" w:sz="0" w:space="0" w:color="auto"/>
      </w:divBdr>
    </w:div>
    <w:div w:id="1534613861">
      <w:bodyDiv w:val="1"/>
      <w:marLeft w:val="0"/>
      <w:marRight w:val="0"/>
      <w:marTop w:val="0"/>
      <w:marBottom w:val="0"/>
      <w:divBdr>
        <w:top w:val="none" w:sz="0" w:space="0" w:color="auto"/>
        <w:left w:val="none" w:sz="0" w:space="0" w:color="auto"/>
        <w:bottom w:val="none" w:sz="0" w:space="0" w:color="auto"/>
        <w:right w:val="none" w:sz="0" w:space="0" w:color="auto"/>
      </w:divBdr>
    </w:div>
    <w:div w:id="1758672303">
      <w:bodyDiv w:val="1"/>
      <w:marLeft w:val="0"/>
      <w:marRight w:val="0"/>
      <w:marTop w:val="0"/>
      <w:marBottom w:val="0"/>
      <w:divBdr>
        <w:top w:val="none" w:sz="0" w:space="0" w:color="auto"/>
        <w:left w:val="none" w:sz="0" w:space="0" w:color="auto"/>
        <w:bottom w:val="none" w:sz="0" w:space="0" w:color="auto"/>
        <w:right w:val="none" w:sz="0" w:space="0" w:color="auto"/>
      </w:divBdr>
    </w:div>
    <w:div w:id="19855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CENTRO PRIVADO DE TOMOGRAFIA COMPUTADA VILLA MERCEDES S.R.L.</vt:lpstr>
    </vt:vector>
  </TitlesOfParts>
  <Company>Windows XP Titan Ultimate Edition</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PRIVADO DE TOMOGRAFIA COMPUTADA VILLA MERCEDES S.R.L.</dc:title>
  <dc:creator>Area Computación - Dpto. de Cs. Básicas</dc:creator>
  <cp:lastModifiedBy>Usuario</cp:lastModifiedBy>
  <cp:revision>2</cp:revision>
  <cp:lastPrinted>2020-03-04T14:25:00Z</cp:lastPrinted>
  <dcterms:created xsi:type="dcterms:W3CDTF">2020-03-23T18:55:00Z</dcterms:created>
  <dcterms:modified xsi:type="dcterms:W3CDTF">2020-03-23T18:55:00Z</dcterms:modified>
</cp:coreProperties>
</file>